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bookmarkStart w:colFirst="0" w:colLast="0" w:name="_j672k8590y9n"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Projekt</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w:cs="Times" w:eastAsia="Times" w:hAnsi="Times"/>
          <w:b w:val="1"/>
          <w:bCs w:val="1"/>
          <w:i w:val="0"/>
          <w:iCs w:val="0"/>
          <w:smallCaps w:val="1"/>
          <w:strike w:val="0"/>
          <w:color w:val="000000"/>
          <w:sz w:val="24"/>
          <w:szCs w:val="24"/>
          <w:u w:val="none"/>
          <w:shd w:fill="auto" w:val="clear"/>
          <w:vertAlign w:val="baseline"/>
        </w:rPr>
      </w:pPr>
      <w:r w:rsidDel="00000000" w:rsidR="00000000" w:rsidRPr="00000000">
        <w:rPr>
          <w:rFonts w:ascii="Times" w:cs="Times" w:eastAsia="Times" w:hAnsi="Times"/>
          <w:b w:val="1"/>
          <w:bCs w:val="1"/>
          <w:i w:val="0"/>
          <w:iCs w:val="0"/>
          <w:smallCaps w:val="1"/>
          <w:strike w:val="0"/>
          <w:color w:val="000000"/>
          <w:sz w:val="24"/>
          <w:szCs w:val="24"/>
          <w:u w:val="none"/>
          <w:shd w:fill="auto" w:val="clear"/>
          <w:vertAlign w:val="baseline"/>
          <w:rtl w:val="0"/>
        </w:rPr>
        <w:t xml:space="preserve">USTAWA</w:t>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z dnia </w:t>
      </w:r>
      <w:r w:rsidDel="00000000" w:rsidR="00000000" w:rsidRPr="00000000">
        <w:rPr>
          <w:rFonts w:ascii="Times" w:cs="Times" w:eastAsia="Times" w:hAnsi="Times"/>
          <w:rtl w:val="0"/>
        </w:rPr>
        <w:t xml:space="preserve">…</w:t>
      </w:r>
      <w:r w:rsidDel="00000000" w:rsidR="00000000" w:rsidRPr="00000000">
        <w:rPr>
          <w:rtl w:val="0"/>
        </w:rPr>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360" w:before="120" w:line="360" w:lineRule="auto"/>
        <w:ind w:left="0" w:right="0" w:firstLine="0"/>
        <w:jc w:val="center"/>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4"/>
          <w:szCs w:val="24"/>
          <w:u w:val="none"/>
          <w:shd w:fill="auto" w:val="clear"/>
          <w:vertAlign w:val="baseline"/>
          <w:rtl w:val="0"/>
        </w:rPr>
        <w:t xml:space="preserve">o zmianie ustawy </w:t>
      </w:r>
      <w:r w:rsidDel="00000000" w:rsidR="00000000" w:rsidRPr="00000000">
        <w:rPr>
          <w:rFonts w:ascii="Times" w:cs="Times" w:eastAsia="Times" w:hAnsi="Times"/>
          <w:b w:val="1"/>
          <w:bCs w:val="1"/>
          <w:rtl w:val="0"/>
        </w:rPr>
        <w:t xml:space="preserve">–</w:t>
      </w:r>
      <w:r w:rsidDel="00000000" w:rsidR="00000000" w:rsidRPr="00000000">
        <w:rPr>
          <w:rFonts w:ascii="Times" w:cs="Times" w:eastAsia="Times" w:hAnsi="Time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bCs w:val="1"/>
          <w:rtl w:val="0"/>
        </w:rPr>
        <w:t xml:space="preserve">Prawo oświatowe oraz ustawy o dochodach jednostek samorządu terytorialnego</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1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4"/>
          <w:szCs w:val="24"/>
          <w:u w:val="none"/>
          <w:shd w:fill="auto" w:val="clear"/>
          <w:vertAlign w:val="baseline"/>
          <w:rtl w:val="0"/>
        </w:rPr>
        <w:t xml:space="preserve">Art. 1.</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 ustawie z dnia 14 </w:t>
      </w:r>
      <w:r w:rsidDel="00000000" w:rsidR="00000000" w:rsidRPr="00000000">
        <w:rPr>
          <w:rFonts w:ascii="Times" w:cs="Times" w:eastAsia="Times" w:hAnsi="Times"/>
          <w:rtl w:val="0"/>
        </w:rPr>
        <w:t xml:space="preserve">grudnia</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rtl w:val="0"/>
        </w:rPr>
        <w:t xml:space="preserve">2016</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r. </w:t>
      </w:r>
      <w:r w:rsidDel="00000000" w:rsidR="00000000" w:rsidRPr="00000000">
        <w:rPr>
          <w:rFonts w:ascii="Times" w:cs="Times" w:eastAsia="Times" w:hAnsi="Times"/>
          <w:rtl w:val="0"/>
        </w:rPr>
        <w:t xml:space="preserve">– Prawo oświatowe</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rtl w:val="0"/>
        </w:rPr>
        <w:t xml:space="preserve">Dz. U. 2017 poz. 59</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wprowadza się następujące zmiany:</w:t>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rtl w:val="0"/>
        </w:rPr>
        <w:t xml:space="preserve">w art. 101 dodaje się ust. 1a w brzmieniu:</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w:cs="Times" w:eastAsia="Times" w:hAnsi="Times"/>
        </w:rPr>
      </w:pPr>
      <w:r w:rsidDel="00000000" w:rsidR="00000000" w:rsidRPr="00000000">
        <w:rPr>
          <w:rFonts w:ascii="Times" w:cs="Times" w:eastAsia="Times" w:hAnsi="Times"/>
          <w:rtl w:val="0"/>
        </w:rPr>
        <w:t xml:space="preserve">„1a. Liczba dzieci w oddziale przedszkola nie może przekraczać 18.”;</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rtl w:val="0"/>
        </w:rPr>
        <w:t xml:space="preserve">art. 111 pkt 12 otrzymuje następujące brzmienie: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rtl w:val="0"/>
        </w:rPr>
        <w:t xml:space="preserve">„12) szczegółową organizację pracy przedszkola, w tym w szczególności organizację oddziału i liczbę uczniów w oddziale, z zastrzeżeniem art. 101 ust. 1a;”.</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10"/>
        <w:jc w:val="both"/>
        <w:rPr>
          <w:rFonts w:ascii="Times" w:cs="Times" w:eastAsia="Times" w:hAnsi="Times"/>
        </w:rPr>
      </w:pPr>
      <w:r w:rsidDel="00000000" w:rsidR="00000000" w:rsidRPr="00000000">
        <w:rPr>
          <w:rFonts w:ascii="Times" w:cs="Times" w:eastAsia="Times" w:hAnsi="Times"/>
          <w:b w:val="1"/>
          <w:bCs w:val="1"/>
          <w:rtl w:val="0"/>
        </w:rPr>
        <w:t xml:space="preserve">Art. 2.</w:t>
      </w:r>
      <w:r w:rsidDel="00000000" w:rsidR="00000000" w:rsidRPr="00000000">
        <w:rPr>
          <w:rFonts w:ascii="Times" w:cs="Times" w:eastAsia="Times" w:hAnsi="Times"/>
          <w:rtl w:val="0"/>
        </w:rPr>
        <w:t xml:space="preserve"> W ustawie z dnia 1 października 2024 r. o dochodach jednostek samorządu terytorialnego (Dz.U. 2024 poz. 1572) w art. 26 ust. 6 dodaje się pkt 4a w brzmieniu:</w:t>
      </w:r>
    </w:p>
    <w:p w:rsidR="00000000" w:rsidDel="00000000" w:rsidP="00000000" w:rsidRDefault="00000000" w:rsidRPr="00000000" w14:paraId="0000000B">
      <w:pPr>
        <w:widowControl w:val="1"/>
        <w:ind w:left="720" w:firstLine="0"/>
        <w:jc w:val="both"/>
        <w:rPr>
          <w:rFonts w:ascii="Times" w:cs="Times" w:eastAsia="Times" w:hAnsi="Times"/>
        </w:rPr>
      </w:pPr>
      <w:r w:rsidDel="00000000" w:rsidR="00000000" w:rsidRPr="00000000">
        <w:rPr>
          <w:rFonts w:ascii="Times" w:cs="Times" w:eastAsia="Times" w:hAnsi="Times"/>
          <w:rtl w:val="0"/>
        </w:rPr>
        <w:t xml:space="preserve">„4a) liczby dzieci w oddziale przedszkola jako czynnika wpływającego na koszty realizacji wychowania przedszkolnego – w sposób powodujący odpowiednie zwiększenie kwoty potrzeb oświatowych przypadającej na dziecko w oddziałach przedszkoli o mniejszej liczbie dzieci;”.</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10"/>
        <w:jc w:val="both"/>
        <w:rPr>
          <w:rFonts w:ascii="Times" w:cs="Times" w:eastAsia="Times" w:hAnsi="Times"/>
        </w:rPr>
      </w:pPr>
      <w:r w:rsidDel="00000000" w:rsidR="00000000" w:rsidRPr="00000000">
        <w:rPr>
          <w:rFonts w:ascii="Times" w:cs="Times" w:eastAsia="Times" w:hAnsi="Times"/>
          <w:b w:val="1"/>
          <w:bCs w:val="1"/>
          <w:i w:val="0"/>
          <w:iCs w:val="0"/>
          <w:smallCaps w:val="0"/>
          <w:strike w:val="0"/>
          <w:color w:val="000000"/>
          <w:sz w:val="24"/>
          <w:szCs w:val="24"/>
          <w:u w:val="none"/>
          <w:shd w:fill="auto" w:val="clear"/>
          <w:vertAlign w:val="baseline"/>
          <w:rtl w:val="0"/>
        </w:rPr>
        <w:t xml:space="preserve">Art. </w:t>
      </w:r>
      <w:r w:rsidDel="00000000" w:rsidR="00000000" w:rsidRPr="00000000">
        <w:rPr>
          <w:rFonts w:ascii="Times" w:cs="Times" w:eastAsia="Times" w:hAnsi="Times"/>
          <w:b w:val="1"/>
          <w:bCs w:val="1"/>
          <w:rtl w:val="0"/>
        </w:rPr>
        <w:t xml:space="preserve">3</w:t>
      </w:r>
      <w:r w:rsidDel="00000000" w:rsidR="00000000" w:rsidRPr="00000000">
        <w:rPr>
          <w:rFonts w:ascii="Times" w:cs="Times" w:eastAsia="Times" w:hAnsi="Times"/>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afterAutospacing="0" w:before="120" w:line="360" w:lineRule="auto"/>
        <w:ind w:left="720" w:right="0" w:hanging="360"/>
        <w:jc w:val="both"/>
        <w:rPr>
          <w:rFonts w:ascii="Times" w:cs="Times" w:eastAsia="Times" w:hAnsi="Times"/>
          <w:u w:val="none"/>
        </w:rPr>
      </w:pPr>
      <w:r w:rsidDel="00000000" w:rsidR="00000000" w:rsidRPr="00000000">
        <w:rPr>
          <w:rFonts w:ascii="Times" w:cs="Times" w:eastAsia="Times" w:hAnsi="Times"/>
          <w:rtl w:val="0"/>
        </w:rPr>
        <w:t xml:space="preserve">Art. 1 ustawy</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wchodzi w życie z dniem </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rtl w:val="0"/>
        </w:rPr>
        <w:t xml:space="preserve">września</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202</w:t>
      </w:r>
      <w:r w:rsidDel="00000000" w:rsidR="00000000" w:rsidRPr="00000000">
        <w:rPr>
          <w:rFonts w:ascii="Times" w:cs="Times" w:eastAsia="Times" w:hAnsi="Times"/>
          <w:rtl w:val="0"/>
        </w:rPr>
        <w:t xml:space="preserve">8</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r. </w:t>
      </w:r>
    </w:p>
    <w:p w:rsidR="00000000" w:rsidDel="00000000" w:rsidP="00000000" w:rsidRDefault="00000000" w:rsidRPr="00000000" w14:paraId="0000000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rFonts w:ascii="Times" w:cs="Times" w:eastAsia="Times" w:hAnsi="Times"/>
          <w:u w:val="none"/>
        </w:rPr>
      </w:pPr>
      <w:r w:rsidDel="00000000" w:rsidR="00000000" w:rsidRPr="00000000">
        <w:rPr>
          <w:rFonts w:ascii="Times" w:cs="Times" w:eastAsia="Times" w:hAnsi="Times"/>
          <w:rtl w:val="0"/>
        </w:rPr>
        <w:t xml:space="preserve">Art. 2 ustawy wchodzi w życie z dniem 1 stycznia 2027 r.</w:t>
      </w:r>
    </w:p>
    <w:p w:rsidR="00000000" w:rsidDel="00000000" w:rsidP="00000000" w:rsidRDefault="00000000" w:rsidRPr="00000000" w14:paraId="0000000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beforeAutospacing="0" w:line="360" w:lineRule="auto"/>
        <w:ind w:left="720" w:right="0" w:hanging="360"/>
        <w:jc w:val="both"/>
        <w:rPr>
          <w:rFonts w:ascii="Times" w:cs="Times" w:eastAsia="Times" w:hAnsi="Times"/>
          <w:u w:val="none"/>
        </w:rPr>
      </w:pPr>
      <w:r w:rsidDel="00000000" w:rsidR="00000000" w:rsidRPr="00000000">
        <w:rPr>
          <w:rFonts w:ascii="Times" w:cs="Times" w:eastAsia="Times" w:hAnsi="Times"/>
          <w:rtl w:val="0"/>
        </w:rPr>
        <w:t xml:space="preserve">Oddziały przedszkola utworzone przed dniem 1 września 2028 r. zachowują liczbę dzieci w tych oddziałach do czasu zakończenia przez dzieci uczęszczające do tych oddziałów wychowania przedszkolnego.</w:t>
      </w:r>
      <w:r w:rsidDel="00000000" w:rsidR="00000000" w:rsidRPr="00000000">
        <w:br w:type="page"/>
      </w:r>
      <w:r w:rsidDel="00000000" w:rsidR="00000000" w:rsidRPr="00000000">
        <w:rPr>
          <w:rtl w:val="0"/>
        </w:rPr>
      </w:r>
    </w:p>
    <w:p w:rsidR="00000000" w:rsidDel="00000000" w:rsidP="00000000" w:rsidRDefault="00000000" w:rsidRPr="00000000" w14:paraId="00000010">
      <w:pPr>
        <w:widowControl w:val="1"/>
        <w:spacing w:before="120" w:lineRule="auto"/>
        <w:jc w:val="center"/>
        <w:rPr>
          <w:rFonts w:ascii="Times" w:cs="Times" w:eastAsia="Times" w:hAnsi="Times"/>
        </w:rPr>
      </w:pPr>
      <w:r w:rsidDel="00000000" w:rsidR="00000000" w:rsidRPr="00000000">
        <w:rPr>
          <w:rFonts w:ascii="Times" w:cs="Times" w:eastAsia="Times" w:hAnsi="Times"/>
          <w:b w:val="1"/>
          <w:bCs w:val="1"/>
          <w:rtl w:val="0"/>
        </w:rPr>
        <w:t xml:space="preserve">UZASADNIENIE</w:t>
      </w:r>
      <w:r w:rsidDel="00000000" w:rsidR="00000000" w:rsidRPr="00000000">
        <w:rPr>
          <w:rtl w:val="0"/>
        </w:rPr>
      </w:r>
    </w:p>
    <w:p w:rsidR="00000000" w:rsidDel="00000000" w:rsidP="00000000" w:rsidRDefault="00000000" w:rsidRPr="00000000" w14:paraId="00000011">
      <w:pPr>
        <w:widowControl w:val="1"/>
        <w:numPr>
          <w:ilvl w:val="0"/>
          <w:numId w:val="3"/>
        </w:numPr>
        <w:spacing w:before="120" w:lineRule="auto"/>
        <w:ind w:left="720" w:hanging="360"/>
        <w:jc w:val="both"/>
        <w:rPr>
          <w:rFonts w:ascii="Times" w:cs="Times" w:eastAsia="Times" w:hAnsi="Times"/>
          <w:b w:val="1"/>
          <w:bCs w:val="1"/>
        </w:rPr>
      </w:pPr>
      <w:r w:rsidDel="00000000" w:rsidR="00000000" w:rsidRPr="00000000">
        <w:rPr>
          <w:rFonts w:ascii="Times" w:cs="Times" w:eastAsia="Times" w:hAnsi="Times"/>
          <w:b w:val="1"/>
          <w:bCs w:val="1"/>
          <w:rtl w:val="0"/>
        </w:rPr>
        <w:t xml:space="preserve">Aktualny stan prawny. Dowolność ministra w kwestii ustalania liczby dzieci w oddziale przedszkola</w:t>
      </w:r>
      <w:r w:rsidDel="00000000" w:rsidR="00000000" w:rsidRPr="00000000">
        <w:rPr>
          <w:rtl w:val="0"/>
        </w:rPr>
      </w:r>
    </w:p>
    <w:p w:rsidR="00000000" w:rsidDel="00000000" w:rsidP="00000000" w:rsidRDefault="00000000" w:rsidRPr="00000000" w14:paraId="00000012">
      <w:pPr>
        <w:widowControl w:val="1"/>
        <w:spacing w:before="120" w:lineRule="auto"/>
        <w:ind w:firstLine="720"/>
        <w:jc w:val="both"/>
        <w:rPr>
          <w:rFonts w:ascii="Times" w:cs="Times" w:eastAsia="Times" w:hAnsi="Times"/>
        </w:rPr>
      </w:pPr>
      <w:r w:rsidDel="00000000" w:rsidR="00000000" w:rsidRPr="00000000">
        <w:rPr>
          <w:rFonts w:ascii="Times" w:cs="Times" w:eastAsia="Times" w:hAnsi="Times"/>
          <w:rtl w:val="0"/>
        </w:rPr>
        <w:t xml:space="preserve">Obecnie na podstawie art. 111 pkt 12 ustawy z dnia 14 grudnia 2016 r. – Prawo oświatowe (Dz. U. 2017 poz. 59) liczbę dzieci w oddziałach przedszkola określa w drodze rozporządzenia minister właściwy do spraw oświaty i wychowania. W aktualnym rozporządzeniu Ministra Edukacji Narodowej w sprawie szczegółowej organizacji publicznych szkół i publicznych przedszkoli z dnia 28 lutego 2019 r. (Dz.U.2019.502 z późn. zm.) liczbę dzieci w oddziale przedszkola ustalono </w:t>
      </w:r>
      <w:r w:rsidDel="00000000" w:rsidR="00000000" w:rsidRPr="00000000">
        <w:rPr>
          <w:rFonts w:ascii="Times" w:cs="Times" w:eastAsia="Times" w:hAnsi="Times"/>
          <w:rtl w:val="0"/>
        </w:rPr>
        <w:t xml:space="preserve">na </w:t>
      </w:r>
      <w:r w:rsidDel="00000000" w:rsidR="00000000" w:rsidRPr="00000000">
        <w:rPr>
          <w:rFonts w:ascii="Times" w:cs="Times" w:eastAsia="Times" w:hAnsi="Times"/>
          <w:b w:val="1"/>
          <w:bCs w:val="1"/>
          <w:rtl w:val="0"/>
        </w:rPr>
        <w:t xml:space="preserve">nie więcej niż 25</w:t>
      </w:r>
      <w:r w:rsidDel="00000000" w:rsidR="00000000" w:rsidRPr="00000000">
        <w:rPr>
          <w:rFonts w:ascii="Times" w:cs="Times" w:eastAsia="Times" w:hAnsi="Times"/>
          <w:rtl w:val="0"/>
        </w:rPr>
        <w:t xml:space="preserve"> (§ 5 ust. 1). </w:t>
      </w:r>
    </w:p>
    <w:p w:rsidR="00000000" w:rsidDel="00000000" w:rsidP="00000000" w:rsidRDefault="00000000" w:rsidRPr="00000000" w14:paraId="00000013">
      <w:pPr>
        <w:widowControl w:val="1"/>
        <w:spacing w:before="120" w:lineRule="auto"/>
        <w:ind w:firstLine="720"/>
        <w:jc w:val="both"/>
        <w:rPr>
          <w:rFonts w:ascii="Times" w:cs="Times" w:eastAsia="Times" w:hAnsi="Times"/>
        </w:rPr>
      </w:pPr>
      <w:r w:rsidDel="00000000" w:rsidR="00000000" w:rsidRPr="00000000">
        <w:rPr>
          <w:rFonts w:ascii="Times" w:cs="Times" w:eastAsia="Times" w:hAnsi="Times"/>
          <w:rtl w:val="0"/>
        </w:rPr>
        <w:t xml:space="preserve">Z kolei ustawa nie ustanawia maksymalnej dopuszczalnej liczby dzieci w oddziale przedszkola. Minister może więc określić tę liczbę w sposób całkowicie dowolny, nie zważając na jakość wychowania przedszkolnego. Swoboda ministra do regulowania tej kwestii powinna więc zostać ograniczona przez ustawodawcę poprzez wprowadzenie ustawowego limitu dzieci w oddziale przedszkola na poziomie gwarantującym dzieciom odpowiedni poziom opieki przedszkolnej.</w:t>
      </w:r>
    </w:p>
    <w:p w:rsidR="00000000" w:rsidDel="00000000" w:rsidP="00000000" w:rsidRDefault="00000000" w:rsidRPr="00000000" w14:paraId="00000014">
      <w:pPr>
        <w:widowControl w:val="1"/>
        <w:numPr>
          <w:ilvl w:val="0"/>
          <w:numId w:val="3"/>
        </w:numPr>
        <w:spacing w:before="120" w:lineRule="auto"/>
        <w:ind w:left="720" w:hanging="360"/>
        <w:jc w:val="both"/>
        <w:rPr>
          <w:rFonts w:ascii="Times" w:cs="Times" w:eastAsia="Times" w:hAnsi="Times"/>
          <w:b w:val="1"/>
          <w:bCs w:val="1"/>
        </w:rPr>
      </w:pPr>
      <w:r w:rsidDel="00000000" w:rsidR="00000000" w:rsidRPr="00000000">
        <w:rPr>
          <w:rFonts w:ascii="Times" w:cs="Times" w:eastAsia="Times" w:hAnsi="Times"/>
          <w:b w:val="1"/>
          <w:bCs w:val="1"/>
          <w:rtl w:val="0"/>
        </w:rPr>
        <w:t xml:space="preserve">Wpływ zmain na funkcjonowanie przedszkoli</w:t>
      </w:r>
    </w:p>
    <w:p w:rsidR="00000000" w:rsidDel="00000000" w:rsidP="00000000" w:rsidRDefault="00000000" w:rsidRPr="00000000" w14:paraId="00000015">
      <w:pPr>
        <w:widowControl w:val="1"/>
        <w:spacing w:before="120" w:lineRule="auto"/>
        <w:ind w:firstLine="720"/>
        <w:jc w:val="both"/>
        <w:rPr>
          <w:rFonts w:ascii="Times" w:cs="Times" w:eastAsia="Times" w:hAnsi="Times"/>
        </w:rPr>
      </w:pPr>
      <w:r w:rsidDel="00000000" w:rsidR="00000000" w:rsidRPr="00000000">
        <w:rPr>
          <w:rFonts w:ascii="Times" w:cs="Times" w:eastAsia="Times" w:hAnsi="Times"/>
          <w:rtl w:val="0"/>
        </w:rPr>
        <w:t xml:space="preserve">Według danych Głównego Urzędu Statystycznego, w roku szkolnym 2024/25 z wychowania przedszkolnego korzystało łącznie 1.452.357 dzieci w 75.098 oddziałach. Oznacza to, że </w:t>
      </w:r>
      <w:r w:rsidDel="00000000" w:rsidR="00000000" w:rsidRPr="00000000">
        <w:rPr>
          <w:rFonts w:ascii="Times" w:cs="Times" w:eastAsia="Times" w:hAnsi="Times"/>
          <w:b w:val="1"/>
          <w:bCs w:val="1"/>
          <w:rtl w:val="0"/>
        </w:rPr>
        <w:t xml:space="preserve">obecnie na 1 oddział przedszkola przypada przeciętnie ok. 19 dzieci</w:t>
      </w:r>
      <w:r w:rsidDel="00000000" w:rsidR="00000000" w:rsidRPr="00000000">
        <w:rPr>
          <w:rFonts w:ascii="Times" w:cs="Times" w:eastAsia="Times" w:hAnsi="Times"/>
          <w:rtl w:val="0"/>
        </w:rPr>
        <w:t xml:space="preserve">.</w:t>
      </w:r>
      <w:r w:rsidDel="00000000" w:rsidR="00000000" w:rsidRPr="00000000">
        <w:rPr>
          <w:rFonts w:ascii="Times" w:cs="Times" w:eastAsia="Times" w:hAnsi="Times"/>
          <w:rtl w:val="0"/>
        </w:rPr>
        <w:t xml:space="preserve"> Zarazem dane wskazują, że nie występują w tym względzie wielkie różnice między miastami a ośrodkami wiejskim – na oddział przedszkola przypada odpowiednio ok. 20 dzieci w miastach i ok. 19 dzieci na wsiach</w:t>
      </w:r>
      <w:r w:rsidDel="00000000" w:rsidR="00000000" w:rsidRPr="00000000">
        <w:rPr>
          <w:rFonts w:ascii="Times" w:cs="Times" w:eastAsia="Times" w:hAnsi="Times"/>
          <w:vertAlign w:val="superscript"/>
        </w:rPr>
        <w:footnoteReference w:customMarkFollows="0" w:id="0"/>
      </w:r>
      <w:r w:rsidDel="00000000" w:rsidR="00000000" w:rsidRPr="00000000">
        <w:rPr>
          <w:rFonts w:ascii="Times" w:cs="Times" w:eastAsia="Times" w:hAnsi="Times"/>
          <w:rtl w:val="0"/>
        </w:rPr>
        <w:t xml:space="preserve">. Średnia liczebność oddziałów przedszkoli jest więc niewiele większa niż proponowany limit. Ustanowienie limitu 18 dzieci przypadających na jeden oddział przedszkola w rzeczywistości wiązałoby się więc z koniecznością otwarcia stosunkowo niewielkiej liczby dodatkowych oddziałów w rejonach, w których najwięcej dzieci korzysta z wychowania przedszkolnego. Ponadto nie wymagałoby znacznego podwyższenia nakładów finansowych w oświacie.</w:t>
      </w:r>
    </w:p>
    <w:p w:rsidR="00000000" w:rsidDel="00000000" w:rsidP="00000000" w:rsidRDefault="00000000" w:rsidRPr="00000000" w14:paraId="00000016">
      <w:pPr>
        <w:widowControl w:val="1"/>
        <w:spacing w:before="120" w:lineRule="auto"/>
        <w:ind w:firstLine="720"/>
        <w:jc w:val="both"/>
        <w:rPr>
          <w:rFonts w:ascii="Times" w:cs="Times" w:eastAsia="Times" w:hAnsi="Times"/>
        </w:rPr>
      </w:pPr>
      <w:r w:rsidDel="00000000" w:rsidR="00000000" w:rsidRPr="00000000">
        <w:rPr>
          <w:rFonts w:ascii="Times" w:cs="Times" w:eastAsia="Times" w:hAnsi="Times"/>
          <w:rtl w:val="0"/>
        </w:rPr>
        <w:t xml:space="preserve">Zarazem takie rozwiązanie stanowiłoby realną szansę, aby zapobiec negatywnej polityce prowadzonej przez niektóre jednostki samorządu terytorialnego, polegającej na zamykaniu przedszkoli, w których wielkość oddziałów odbiega od limitu dzieci arbitralnie wyznaczonego rozporządzeniem. Zmiany związane z niżem demograficznym są coraz częściej podawane jako przyczyna likwidacji oddziałów przedszkoli lub całych przedszkoli. Najczęściej przytaczanym uzasadnieniem tych działań jest spadek liczebności grup znacznie poniżej limitu ustalonego rozporządzeniem Ministra Edukacji Narodowej</w:t>
      </w:r>
      <w:r w:rsidDel="00000000" w:rsidR="00000000" w:rsidRPr="00000000">
        <w:rPr>
          <w:rFonts w:ascii="Times" w:cs="Times" w:eastAsia="Times" w:hAnsi="Times"/>
          <w:vertAlign w:val="superscript"/>
        </w:rPr>
        <w:footnoteReference w:customMarkFollows="0" w:id="1"/>
      </w:r>
      <w:r w:rsidDel="00000000" w:rsidR="00000000" w:rsidRPr="00000000">
        <w:rPr>
          <w:rFonts w:ascii="Times" w:cs="Times" w:eastAsia="Times" w:hAnsi="Times"/>
          <w:rtl w:val="0"/>
        </w:rPr>
        <w:t xml:space="preserve">.</w:t>
      </w:r>
    </w:p>
    <w:p w:rsidR="00000000" w:rsidDel="00000000" w:rsidP="00000000" w:rsidRDefault="00000000" w:rsidRPr="00000000" w14:paraId="00000017">
      <w:pPr>
        <w:widowControl w:val="1"/>
        <w:spacing w:before="120" w:lineRule="auto"/>
        <w:ind w:firstLine="720"/>
        <w:jc w:val="both"/>
        <w:rPr>
          <w:rFonts w:ascii="Times" w:cs="Times" w:eastAsia="Times" w:hAnsi="Times"/>
        </w:rPr>
      </w:pPr>
      <w:r w:rsidDel="00000000" w:rsidR="00000000" w:rsidRPr="00000000">
        <w:rPr>
          <w:rFonts w:ascii="Times" w:cs="Times" w:eastAsia="Times" w:hAnsi="Times"/>
          <w:rtl w:val="0"/>
        </w:rPr>
        <w:t xml:space="preserve">Ponadto zmniejszenie liczebności oddziałów przedszkoli może być szansą na zapewnienie dzieciom wyższej jakości opieki i wychowania. Mniejsza liczba dzieci przypadających na jednego nauczyciela daje szanse na poświęcenie dzieciom większej uwagi i większe wsparcie w rozwijaniu ich indywidualnych zdolności. Badania OECD wskazują, że mniejszy stosunek dzieci do nauczycieli przedszkolnych pozwala wychowawcom poświęcać mniej czasu na zarządzanie grupą, a więcej na aangażowanie się w pracę z każdym dzieckiem. Sprzyja to tworzeniu silniejszych relacji, które są niezbędnym elementem wysokiej jakości edukacji przedszkolnej. Ponadto wyższa jakość interakcji jest ściśle powiązana z lepszymi wynikami w zakresie rozwoju poznawczego dzieci, regulacji emocjonalnej i ogólnego samopoczucia</w:t>
      </w:r>
      <w:r w:rsidDel="00000000" w:rsidR="00000000" w:rsidRPr="00000000">
        <w:rPr>
          <w:rFonts w:ascii="Times" w:cs="Times" w:eastAsia="Times" w:hAnsi="Times"/>
          <w:vertAlign w:val="superscript"/>
        </w:rPr>
        <w:footnoteReference w:customMarkFollows="0" w:id="2"/>
      </w:r>
      <w:r w:rsidDel="00000000" w:rsidR="00000000" w:rsidRPr="00000000">
        <w:rPr>
          <w:rFonts w:ascii="Times" w:cs="Times" w:eastAsia="Times" w:hAnsi="Times"/>
          <w:rtl w:val="0"/>
        </w:rPr>
        <w:t xml:space="preserve">. </w:t>
      </w:r>
    </w:p>
    <w:p w:rsidR="00000000" w:rsidDel="00000000" w:rsidP="00000000" w:rsidRDefault="00000000" w:rsidRPr="00000000" w14:paraId="00000018">
      <w:pPr>
        <w:widowControl w:val="1"/>
        <w:spacing w:before="120" w:lineRule="auto"/>
        <w:ind w:firstLine="720"/>
        <w:jc w:val="both"/>
        <w:rPr>
          <w:rFonts w:ascii="Times" w:cs="Times" w:eastAsia="Times" w:hAnsi="Times"/>
        </w:rPr>
      </w:pPr>
      <w:r w:rsidDel="00000000" w:rsidR="00000000" w:rsidRPr="00000000">
        <w:rPr>
          <w:rFonts w:ascii="Times" w:cs="Times" w:eastAsia="Times" w:hAnsi="Times"/>
          <w:rtl w:val="0"/>
        </w:rPr>
        <w:t xml:space="preserve">Z danych wynika także, że w krajach OECD na nauczyciela przedszkolnego przypada średnio 13 dzieci</w:t>
      </w:r>
      <w:r w:rsidDel="00000000" w:rsidR="00000000" w:rsidRPr="00000000">
        <w:rPr>
          <w:rFonts w:ascii="Times" w:cs="Times" w:eastAsia="Times" w:hAnsi="Times"/>
          <w:vertAlign w:val="superscript"/>
        </w:rPr>
        <w:footnoteReference w:customMarkFollows="0" w:id="3"/>
      </w:r>
      <w:r w:rsidDel="00000000" w:rsidR="00000000" w:rsidRPr="00000000">
        <w:rPr>
          <w:rFonts w:ascii="Times" w:cs="Times" w:eastAsia="Times" w:hAnsi="Times"/>
          <w:rtl w:val="0"/>
        </w:rPr>
        <w:t xml:space="preserve">. Zmniejszenie maksymalnego rozmiaru oddziału przedszkola do 18 dzieci byłoby więc znaczącym krokiem w kierunku dorównania przez Polskę do europejskiego standardu edukacji przedszkolnej.</w:t>
      </w:r>
    </w:p>
    <w:p w:rsidR="00000000" w:rsidDel="00000000" w:rsidP="00000000" w:rsidRDefault="00000000" w:rsidRPr="00000000" w14:paraId="00000019">
      <w:pPr>
        <w:widowControl w:val="1"/>
        <w:numPr>
          <w:ilvl w:val="0"/>
          <w:numId w:val="3"/>
        </w:numPr>
        <w:spacing w:before="120" w:lineRule="auto"/>
        <w:ind w:left="720" w:hanging="360"/>
        <w:jc w:val="both"/>
        <w:rPr>
          <w:rFonts w:ascii="Times" w:cs="Times" w:eastAsia="Times" w:hAnsi="Times"/>
          <w:b w:val="1"/>
          <w:bCs w:val="1"/>
        </w:rPr>
      </w:pPr>
      <w:r w:rsidDel="00000000" w:rsidR="00000000" w:rsidRPr="00000000">
        <w:rPr>
          <w:rFonts w:ascii="Times" w:cs="Times" w:eastAsia="Times" w:hAnsi="Times"/>
          <w:b w:val="1"/>
          <w:bCs w:val="1"/>
          <w:rtl w:val="0"/>
        </w:rPr>
        <w:t xml:space="preserve">Wielkość grupy przedszkolnej a model finansowania wychowania przedszkolnego</w:t>
      </w:r>
      <w:r w:rsidDel="00000000" w:rsidR="00000000" w:rsidRPr="00000000">
        <w:rPr>
          <w:rtl w:val="0"/>
        </w:rPr>
      </w:r>
    </w:p>
    <w:p w:rsidR="00000000" w:rsidDel="00000000" w:rsidP="00000000" w:rsidRDefault="00000000" w:rsidRPr="00000000" w14:paraId="0000001A">
      <w:pPr>
        <w:widowControl w:val="1"/>
        <w:spacing w:before="120" w:lineRule="auto"/>
        <w:ind w:firstLine="720"/>
        <w:jc w:val="both"/>
        <w:rPr>
          <w:rFonts w:ascii="Times" w:cs="Times" w:eastAsia="Times" w:hAnsi="Times"/>
        </w:rPr>
      </w:pPr>
      <w:r w:rsidDel="00000000" w:rsidR="00000000" w:rsidRPr="00000000">
        <w:rPr>
          <w:rFonts w:ascii="Times" w:cs="Times" w:eastAsia="Times" w:hAnsi="Times"/>
          <w:rtl w:val="0"/>
        </w:rPr>
        <w:t xml:space="preserve">Aktualny model finansowania wychowania przedszkolnego jest oparty o rozwiązania zawarte w ustawie z dnia 1 października 2024 r. o dochodach jednostek samorządu terytorialnego (Dz.U. 2024 poz. 1572), ustalającej zasady finansowania potrzeb oświatowych jednostek samorządu terytorialnego z budżetu państwa.  Na podstawie art. 26 ust. 6 tej ustawy sposób podziału łącznej kwoty potrzeb oświatowych między poszczególne jednostki samorządu terytorialnego określa minister właściwy do spraw oświaty i wychowania w drodze rozporządzenia. Ustawa wyznacza jednak ministrowi kryteria, którymi musi kierować się przy ustalaniu sposobu podziału tej kwoty. W przypadku finansowania przedszkoli, głównym kryterium jest tutaj liczba dzieci objętych wychowaniem przedszkolnym w przedszkolach, oddziałach przedszkolnych zorganizowanych w szkołach podstawowych i innych formach wychowania przedszkolnego (art. 26 ust. 6 pkt 4).</w:t>
      </w:r>
    </w:p>
    <w:p w:rsidR="00000000" w:rsidDel="00000000" w:rsidP="00000000" w:rsidRDefault="00000000" w:rsidRPr="00000000" w14:paraId="0000001B">
      <w:pPr>
        <w:widowControl w:val="1"/>
        <w:spacing w:before="120" w:lineRule="auto"/>
        <w:ind w:firstLine="720"/>
        <w:jc w:val="both"/>
        <w:rPr>
          <w:rFonts w:ascii="Times" w:cs="Times" w:eastAsia="Times" w:hAnsi="Times"/>
        </w:rPr>
      </w:pPr>
      <w:r w:rsidDel="00000000" w:rsidR="00000000" w:rsidRPr="00000000">
        <w:rPr>
          <w:rFonts w:ascii="Times" w:cs="Times" w:eastAsia="Times" w:hAnsi="Times"/>
          <w:rtl w:val="0"/>
        </w:rPr>
        <w:t xml:space="preserve">Takie ustalenie kryteriów powoduje sytuację, w której finansowanie przedszkoli jest tym wyższe, im większa jest liczba dzieci w danym przedszkolu. Ustawodawca motywuje więc do maksymalizacji rozmiarów oddziałów przedszkoli, jako że ich zmniejszanie wiąże się ze zmniejszeniem finansowania przyznanego jednostkom samorządu terytorianego.</w:t>
      </w:r>
    </w:p>
    <w:p w:rsidR="00000000" w:rsidDel="00000000" w:rsidP="00000000" w:rsidRDefault="00000000" w:rsidRPr="00000000" w14:paraId="0000001C">
      <w:pPr>
        <w:widowControl w:val="1"/>
        <w:spacing w:before="120" w:lineRule="auto"/>
        <w:ind w:firstLine="720"/>
        <w:jc w:val="both"/>
        <w:rPr>
          <w:rFonts w:ascii="Times" w:cs="Times" w:eastAsia="Times" w:hAnsi="Times"/>
        </w:rPr>
      </w:pPr>
      <w:r w:rsidDel="00000000" w:rsidR="00000000" w:rsidRPr="00000000">
        <w:rPr>
          <w:rFonts w:ascii="Times" w:cs="Times" w:eastAsia="Times" w:hAnsi="Times"/>
          <w:rtl w:val="0"/>
        </w:rPr>
        <w:t xml:space="preserve">Propozycja zmniejszenia maksymalnego limitu dzieci w oddziale przedszkola powinna więc zostać poprzedzona zmianą kryteriów finansowania. Ustawa powinna zobowiązywać ministra, aby przy ustalaniu sposobu podziału potrzeb oświatowych kierował się także koniecznością zapewnienia wyższego finansowania jednostkom, które decydują się na zmniejszanie liczby dzieci w oddziałach i otwieranie dodatkowych oddziałów. Odpowiednio wdrożony system podziału mógłby zapewniać wyższą kwotę przypadającą na dziecko w oddziałach przedszkoli, które redukują liczbę dzieci w oddziale do docelowego ustawowego limitu. Wdrożenie takiego modelu finansowania przed wejściem w życie regulacji ustawowych dałoby jednostkom samorządu terytorialnego i finansowanym przez nie placówkom motywację i czas niezbędne do tego, aby zapewnić infrastrukturę i kadrę niezbędną do prowadzenia mniejszych oddziałów.</w:t>
      </w:r>
    </w:p>
    <w:p w:rsidR="00000000" w:rsidDel="00000000" w:rsidP="00000000" w:rsidRDefault="00000000" w:rsidRPr="00000000" w14:paraId="0000001D">
      <w:pPr>
        <w:widowControl w:val="1"/>
        <w:spacing w:before="120" w:lineRule="auto"/>
        <w:ind w:firstLine="720"/>
        <w:jc w:val="both"/>
        <w:rPr>
          <w:rFonts w:ascii="Times" w:cs="Times" w:eastAsia="Times" w:hAnsi="Times"/>
        </w:rPr>
      </w:pPr>
      <w:r w:rsidDel="00000000" w:rsidR="00000000" w:rsidRPr="00000000">
        <w:rPr>
          <w:rtl w:val="0"/>
        </w:rPr>
      </w:r>
    </w:p>
    <w:p w:rsidR="00000000" w:rsidDel="00000000" w:rsidP="00000000" w:rsidRDefault="00000000" w:rsidRPr="00000000" w14:paraId="0000001E">
      <w:pPr>
        <w:widowControl w:val="1"/>
        <w:spacing w:before="120" w:lineRule="auto"/>
        <w:ind w:firstLine="720"/>
        <w:jc w:val="both"/>
        <w:rPr>
          <w:rFonts w:ascii="Times" w:cs="Times" w:eastAsia="Times" w:hAnsi="Times"/>
          <w:strike w:val="1"/>
        </w:rPr>
      </w:pPr>
      <w:r w:rsidDel="00000000" w:rsidR="00000000" w:rsidRPr="00000000">
        <w:rPr>
          <w:rFonts w:ascii="Times" w:cs="Times" w:eastAsia="Times" w:hAnsi="Times"/>
          <w:rtl w:val="0"/>
        </w:rPr>
        <w:t xml:space="preserve">Przedmiot regulacji nie jest objęty prawem Unii Europejskiej.</w:t>
      </w:r>
      <w:r w:rsidDel="00000000" w:rsidR="00000000" w:rsidRPr="00000000">
        <w:br w:type="page"/>
      </w:r>
      <w:r w:rsidDel="00000000" w:rsidR="00000000" w:rsidRPr="00000000">
        <w:rPr>
          <w:rtl w:val="0"/>
        </w:rPr>
      </w:r>
    </w:p>
    <w:p w:rsidR="00000000" w:rsidDel="00000000" w:rsidP="00000000" w:rsidRDefault="00000000" w:rsidRPr="00000000" w14:paraId="0000001F">
      <w:pPr>
        <w:widowControl w:val="1"/>
        <w:spacing w:after="160" w:line="259"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0">
      <w:pPr>
        <w:widowControl w:val="1"/>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DEKLAROWANE SKUTKI REGULACJI (DSR)</w:t>
      </w:r>
    </w:p>
    <w:p w:rsidR="00000000" w:rsidDel="00000000" w:rsidP="00000000" w:rsidRDefault="00000000" w:rsidRPr="00000000" w14:paraId="00000021">
      <w:pPr>
        <w:widowControl w:val="1"/>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projektu ustawy</w:t>
      </w:r>
    </w:p>
    <w:p w:rsidR="00000000" w:rsidDel="00000000" w:rsidP="00000000" w:rsidRDefault="00000000" w:rsidRPr="00000000" w14:paraId="00000022">
      <w:pPr>
        <w:widowControl w:val="1"/>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3">
      <w:pPr>
        <w:widowControl w:val="1"/>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4">
      <w:pPr>
        <w:widowControl w:val="1"/>
        <w:tabs>
          <w:tab w:val="left" w:leader="none" w:pos="2834"/>
        </w:tabs>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ab/>
      </w:r>
    </w:p>
    <w:p w:rsidR="00000000" w:rsidDel="00000000" w:rsidP="00000000" w:rsidRDefault="00000000" w:rsidRPr="00000000" w14:paraId="00000025">
      <w:pPr>
        <w:widowControl w:val="1"/>
        <w:tabs>
          <w:tab w:val="left" w:leader="none" w:pos="6290"/>
        </w:tabs>
        <w:spacing w:after="160" w:line="259"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Informacja o projekcie</w:t>
        <w:tab/>
      </w:r>
    </w:p>
    <w:p w:rsidR="00000000" w:rsidDel="00000000" w:rsidP="00000000" w:rsidRDefault="00000000" w:rsidRPr="00000000" w14:paraId="00000026">
      <w:pPr>
        <w:widowControl w:val="1"/>
        <w:spacing w:after="160" w:line="259" w:lineRule="auto"/>
        <w:ind w:left="360" w:firstLine="0"/>
        <w:jc w:val="both"/>
        <w:rPr>
          <w:rFonts w:ascii="Arial" w:cs="Arial" w:eastAsia="Arial" w:hAnsi="Arial"/>
        </w:rPr>
      </w:pPr>
      <w:r w:rsidDel="00000000" w:rsidR="00000000" w:rsidRPr="00000000">
        <w:rPr>
          <w:rFonts w:ascii="Arial" w:cs="Arial" w:eastAsia="Arial" w:hAnsi="Arial"/>
          <w:rtl w:val="0"/>
        </w:rPr>
        <w:t xml:space="preserve">a) Tytuł projektu:</w:t>
      </w:r>
    </w:p>
    <w:tbl>
      <w:tblPr>
        <w:tblStyle w:val="Table1"/>
        <w:tblW w:w="91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82"/>
        <w:tblGridChange w:id="0">
          <w:tblGrid>
            <w:gridCol w:w="9182"/>
          </w:tblGrid>
        </w:tblGridChange>
      </w:tblGrid>
      <w:tr>
        <w:trPr>
          <w:cantSplit w:val="0"/>
          <w:trHeight w:val="410" w:hRule="atLeast"/>
          <w:tblHeader w:val="0"/>
        </w:trPr>
        <w:tc>
          <w:tcPr/>
          <w:p w:rsidR="00000000" w:rsidDel="00000000" w:rsidP="00000000" w:rsidRDefault="00000000" w:rsidRPr="00000000" w14:paraId="00000027">
            <w:pPr>
              <w:widowControl w:val="1"/>
              <w:ind w:left="360" w:firstLine="0"/>
              <w:jc w:val="both"/>
              <w:rPr>
                <w:rFonts w:ascii="Arial" w:cs="Arial" w:eastAsia="Arial" w:hAnsi="Arial"/>
                <w:sz w:val="20"/>
                <w:szCs w:val="20"/>
              </w:rPr>
            </w:pPr>
            <w:bookmarkStart w:colFirst="0" w:colLast="0" w:name="_dwzov3on64eg" w:id="1"/>
            <w:bookmarkEnd w:id="1"/>
            <w:r w:rsidDel="00000000" w:rsidR="00000000" w:rsidRPr="00000000">
              <w:rPr>
                <w:rtl w:val="0"/>
              </w:rPr>
            </w:r>
          </w:p>
          <w:p w:rsidR="00000000" w:rsidDel="00000000" w:rsidP="00000000" w:rsidRDefault="00000000" w:rsidRPr="00000000" w14:paraId="00000028">
            <w:pPr>
              <w:widowControl w:val="1"/>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Projekt ustawy o zmianie ustawy – Prawo oświatowe oraz ustawy o dochodach jednostek samorządu terytorialnego</w:t>
            </w:r>
          </w:p>
          <w:p w:rsidR="00000000" w:rsidDel="00000000" w:rsidP="00000000" w:rsidRDefault="00000000" w:rsidRPr="00000000" w14:paraId="00000029">
            <w:pPr>
              <w:widowControl w:val="1"/>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2A">
      <w:pPr>
        <w:widowControl w:val="1"/>
        <w:spacing w:after="160" w:line="259"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B">
      <w:pPr>
        <w:widowControl w:val="1"/>
        <w:spacing w:after="160" w:line="259" w:lineRule="auto"/>
        <w:ind w:left="360" w:firstLine="0"/>
        <w:jc w:val="both"/>
        <w:rPr>
          <w:rFonts w:ascii="Arial" w:cs="Arial" w:eastAsia="Arial" w:hAnsi="Arial"/>
        </w:rPr>
      </w:pPr>
      <w:r w:rsidDel="00000000" w:rsidR="00000000" w:rsidRPr="00000000">
        <w:rPr>
          <w:rFonts w:ascii="Arial" w:cs="Arial" w:eastAsia="Arial" w:hAnsi="Arial"/>
          <w:rtl w:val="0"/>
        </w:rPr>
        <w:t xml:space="preserve">b) Przedstawiciel wnioskodawcy:</w:t>
      </w:r>
    </w:p>
    <w:tbl>
      <w:tblPr>
        <w:tblStyle w:val="Table2"/>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cantSplit w:val="0"/>
          <w:trHeight w:val="671" w:hRule="atLeast"/>
          <w:tblHeader w:val="0"/>
        </w:trPr>
        <w:tc>
          <w:tcPr/>
          <w:p w:rsidR="00000000" w:rsidDel="00000000" w:rsidP="00000000" w:rsidRDefault="00000000" w:rsidRPr="00000000" w14:paraId="0000002C">
            <w:pPr>
              <w:widowControl w:val="1"/>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widowControl w:val="1"/>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Marcelina Zawisza</w:t>
            </w:r>
          </w:p>
          <w:p w:rsidR="00000000" w:rsidDel="00000000" w:rsidP="00000000" w:rsidRDefault="00000000" w:rsidRPr="00000000" w14:paraId="0000002E">
            <w:pPr>
              <w:widowControl w:val="1"/>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2F">
      <w:pPr>
        <w:widowControl w:val="1"/>
        <w:spacing w:after="160" w:line="259"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0">
      <w:pPr>
        <w:widowControl w:val="1"/>
        <w:spacing w:after="160" w:line="259"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1">
      <w:pPr>
        <w:widowControl w:val="1"/>
        <w:spacing w:after="160" w:line="259" w:lineRule="auto"/>
        <w:jc w:val="both"/>
        <w:rPr>
          <w:rFonts w:ascii="Arial" w:cs="Arial" w:eastAsia="Arial" w:hAnsi="Arial"/>
        </w:rPr>
      </w:pPr>
      <w:r w:rsidDel="00000000" w:rsidR="00000000" w:rsidRPr="00000000">
        <w:rPr>
          <w:rFonts w:ascii="Arial" w:cs="Arial" w:eastAsia="Arial" w:hAnsi="Arial"/>
          <w:b w:val="1"/>
          <w:bCs w:val="1"/>
          <w:rtl w:val="0"/>
        </w:rPr>
        <w:t xml:space="preserve">I. Część wstępna</w:t>
      </w:r>
      <w:r w:rsidDel="00000000" w:rsidR="00000000" w:rsidRPr="00000000">
        <w:rPr>
          <w:rtl w:val="0"/>
        </w:rPr>
      </w:r>
    </w:p>
    <w:p w:rsidR="00000000" w:rsidDel="00000000" w:rsidP="00000000" w:rsidRDefault="00000000" w:rsidRPr="00000000" w14:paraId="00000032">
      <w:pPr>
        <w:widowControl w:val="1"/>
        <w:spacing w:after="160" w:line="259" w:lineRule="auto"/>
        <w:jc w:val="both"/>
        <w:rPr>
          <w:rFonts w:ascii="Arial" w:cs="Arial" w:eastAsia="Arial" w:hAnsi="Arial"/>
        </w:rPr>
      </w:pPr>
      <w:r w:rsidDel="00000000" w:rsidR="00000000" w:rsidRPr="00000000">
        <w:rPr>
          <w:rFonts w:ascii="Arial" w:cs="Arial" w:eastAsia="Arial" w:hAnsi="Arial"/>
          <w:rtl w:val="0"/>
        </w:rPr>
        <w:t xml:space="preserve">[1] Zwięzły opis zidentyfikowanego problemu i proponowanych rozwiązań.</w:t>
      </w:r>
    </w:p>
    <w:tbl>
      <w:tblPr>
        <w:tblStyle w:val="Table3"/>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0"/>
        <w:tblGridChange w:id="0">
          <w:tblGrid>
            <w:gridCol w:w="9060"/>
          </w:tblGrid>
        </w:tblGridChange>
      </w:tblGrid>
      <w:tr>
        <w:trPr>
          <w:cantSplit w:val="0"/>
          <w:tblHeader w:val="0"/>
        </w:trPr>
        <w:tc>
          <w:tcPr/>
          <w:p w:rsidR="00000000" w:rsidDel="00000000" w:rsidP="00000000" w:rsidRDefault="00000000" w:rsidRPr="00000000" w14:paraId="00000033">
            <w:pPr>
              <w:widowControl w:val="1"/>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widowControl w:val="1"/>
              <w:spacing w:after="160" w:line="259"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Zidentyfikowany problem i jego skala</w:t>
            </w:r>
            <w:r w:rsidDel="00000000" w:rsidR="00000000" w:rsidRPr="00000000">
              <w:rPr>
                <w:rtl w:val="0"/>
              </w:rPr>
            </w:r>
          </w:p>
          <w:p w:rsidR="00000000" w:rsidDel="00000000" w:rsidP="00000000" w:rsidRDefault="00000000" w:rsidRPr="00000000" w14:paraId="00000035">
            <w:pPr>
              <w:widowControl w:val="1"/>
              <w:spacing w:after="160" w:line="259"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Obowiązujący stan prawny nie ustanawia ustawowego limitu liczby dzieci w oddziale przedszkola, pozostawiając tę kwestię do uregulowania w drodze rozporządzenia ministra właściwego do spraw oświaty i wychowania. W efekcie maksymalna liczba dzieci w oddziale przedszkola (obecnie 25) nie wynika z ustawy i może być kształtowana w sposób nieuwzględniający jakości opieki i wychowania przedszkolnego. </w:t>
            </w:r>
          </w:p>
          <w:p w:rsidR="00000000" w:rsidDel="00000000" w:rsidP="00000000" w:rsidRDefault="00000000" w:rsidRPr="00000000" w14:paraId="00000036">
            <w:pPr>
              <w:widowControl w:val="1"/>
              <w:spacing w:after="160" w:line="259"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Jednocześnie model finansowania wychowania przedszkolnego oparty jest zasadniczo na liczbie dzieci, co tworzy bodźce do utrzymywania możliwie licznych oddziałów oraz do likwidowania oddziałów o mniejszej liczebności.</w:t>
            </w:r>
          </w:p>
          <w:p w:rsidR="00000000" w:rsidDel="00000000" w:rsidP="00000000" w:rsidRDefault="00000000" w:rsidRPr="00000000" w14:paraId="00000037">
            <w:pPr>
              <w:widowControl w:val="1"/>
              <w:spacing w:after="160" w:line="259"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Proponowane rozwiązania</w:t>
            </w:r>
            <w:r w:rsidDel="00000000" w:rsidR="00000000" w:rsidRPr="00000000">
              <w:rPr>
                <w:rtl w:val="0"/>
              </w:rPr>
            </w:r>
          </w:p>
          <w:p w:rsidR="00000000" w:rsidDel="00000000" w:rsidP="00000000" w:rsidRDefault="00000000" w:rsidRPr="00000000" w14:paraId="00000038">
            <w:pPr>
              <w:widowControl w:val="1"/>
              <w:spacing w:after="160" w:line="259"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Projekt ustawy wprowadza:</w:t>
            </w:r>
          </w:p>
          <w:p w:rsidR="00000000" w:rsidDel="00000000" w:rsidP="00000000" w:rsidRDefault="00000000" w:rsidRPr="00000000" w14:paraId="00000039">
            <w:pPr>
              <w:widowControl w:val="1"/>
              <w:numPr>
                <w:ilvl w:val="0"/>
                <w:numId w:val="7"/>
              </w:numPr>
              <w:spacing w:after="160" w:line="259"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ustawowy limit liczby dzieci w oddziale przedszkola na poziomie 18 dzieci;</w:t>
            </w:r>
          </w:p>
          <w:p w:rsidR="00000000" w:rsidDel="00000000" w:rsidP="00000000" w:rsidRDefault="00000000" w:rsidRPr="00000000" w14:paraId="0000003A">
            <w:pPr>
              <w:widowControl w:val="1"/>
              <w:numPr>
                <w:ilvl w:val="0"/>
                <w:numId w:val="7"/>
              </w:numPr>
              <w:spacing w:after="160" w:line="259"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zmianę zasad podziału kwoty potrzeb oświatowych poprzez zobowiązanie ministra właściwego do spraw oświaty i wychowania do uwzględniania liczby dzieci w oddziale przedszkola w sposób powodujący wyższe finansowanie oddziałów o mniejszej liczbie dzieci.</w:t>
            </w:r>
          </w:p>
          <w:p w:rsidR="00000000" w:rsidDel="00000000" w:rsidP="00000000" w:rsidRDefault="00000000" w:rsidRPr="00000000" w14:paraId="0000003B">
            <w:pPr>
              <w:widowControl w:val="1"/>
              <w:numPr>
                <w:ilvl w:val="0"/>
                <w:numId w:val="7"/>
              </w:numPr>
              <w:spacing w:after="160" w:line="259"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zróżnicowane terminy wejścia w życie zmian, umożliwiające jednostkom samorządu terytorialnego stopniowe dostosowanie organizacyjne i finansowe.</w:t>
            </w:r>
          </w:p>
          <w:p w:rsidR="00000000" w:rsidDel="00000000" w:rsidP="00000000" w:rsidRDefault="00000000" w:rsidRPr="00000000" w14:paraId="0000003C">
            <w:pPr>
              <w:widowControl w:val="1"/>
              <w:spacing w:after="160" w:line="259" w:lineRule="auto"/>
              <w:ind w:lef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D">
            <w:pPr>
              <w:widowControl w:val="1"/>
              <w:spacing w:after="160" w:line="259" w:lineRule="auto"/>
              <w:ind w:left="0"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Skutki braku zmiany stanu obecnego</w:t>
            </w:r>
            <w:r w:rsidDel="00000000" w:rsidR="00000000" w:rsidRPr="00000000">
              <w:rPr>
                <w:rtl w:val="0"/>
              </w:rPr>
            </w:r>
          </w:p>
          <w:p w:rsidR="00000000" w:rsidDel="00000000" w:rsidP="00000000" w:rsidRDefault="00000000" w:rsidRPr="00000000" w14:paraId="0000003E">
            <w:pPr>
              <w:widowControl w:val="1"/>
              <w:spacing w:after="160" w:line="259"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Brak interwencji ustawodawczej utrwalałby model, w którym decyzje organizacyjne w wychowaniu przedszkolnym są w istotnym stopniu determinowane kryteriami finansowymi, sprzyjającymi maksymalizacji liczebności oddziałów oraz likwidacji oddziałów o mniejszej liczbie dzieci, zwłaszcza w warunkach niżu demograficznego. Prowadziłoby to do dalszego zróżnicowania jakości wychowania przedszkolnego, osłabienia stabilności sieci przedszkoli oraz ograniczenia możliwości indywidualnego wsparcia rozwoju dzieci, pomimo że dane wskazują na realną możliwość funkcjonowania oddziałów o mniejszej liczebności w skali całego systemu.</w:t>
            </w:r>
          </w:p>
        </w:tc>
      </w:tr>
    </w:tbl>
    <w:p w:rsidR="00000000" w:rsidDel="00000000" w:rsidP="00000000" w:rsidRDefault="00000000" w:rsidRPr="00000000" w14:paraId="0000003F">
      <w:pPr>
        <w:widowControl w:val="1"/>
        <w:spacing w:after="160" w:line="259"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0">
      <w:pPr>
        <w:widowControl w:val="1"/>
        <w:spacing w:after="160" w:line="259" w:lineRule="auto"/>
        <w:jc w:val="both"/>
        <w:rPr>
          <w:rFonts w:ascii="Arial" w:cs="Arial" w:eastAsia="Arial" w:hAnsi="Arial"/>
        </w:rPr>
      </w:pPr>
      <w:r w:rsidDel="00000000" w:rsidR="00000000" w:rsidRPr="00000000">
        <w:rPr>
          <w:rFonts w:ascii="Arial" w:cs="Arial" w:eastAsia="Arial" w:hAnsi="Arial"/>
          <w:rtl w:val="0"/>
        </w:rPr>
        <w:t xml:space="preserve">[2] Czy były rozważane rozwiązania alternatywne?</w:t>
      </w:r>
    </w:p>
    <w:p w:rsidR="00000000" w:rsidDel="00000000" w:rsidP="00000000" w:rsidRDefault="00000000" w:rsidRPr="00000000" w14:paraId="00000041">
      <w:pPr>
        <w:widowControl w:val="1"/>
        <w:numPr>
          <w:ilvl w:val="0"/>
          <w:numId w:val="16"/>
        </w:numPr>
        <w:spacing w:line="240" w:lineRule="auto"/>
        <w:ind w:left="720" w:hanging="360"/>
        <w:jc w:val="both"/>
        <w:rPr>
          <w:rFonts w:ascii="Noto Sans Symbols" w:cs="Noto Sans Symbols" w:eastAsia="Noto Sans Symbols" w:hAnsi="Noto Sans Symbols"/>
        </w:rPr>
      </w:pPr>
      <w:r w:rsidDel="00000000" w:rsidR="00000000" w:rsidRPr="00000000">
        <w:rPr>
          <w:rFonts w:ascii="Arial" w:cs="Arial" w:eastAsia="Arial" w:hAnsi="Arial"/>
          <w:rtl w:val="0"/>
        </w:rPr>
        <w:t xml:space="preserve">Tak </w:t>
      </w:r>
    </w:p>
    <w:p w:rsidR="00000000" w:rsidDel="00000000" w:rsidP="00000000" w:rsidRDefault="00000000" w:rsidRPr="00000000" w14:paraId="00000042">
      <w:pPr>
        <w:widowControl w:val="1"/>
        <w:numPr>
          <w:ilvl w:val="0"/>
          <w:numId w:val="10"/>
        </w:numPr>
        <w:spacing w:after="160" w:line="240" w:lineRule="auto"/>
        <w:ind w:left="720" w:hanging="360"/>
        <w:jc w:val="both"/>
        <w:rPr>
          <w:rFonts w:ascii="Noto Sans Symbols" w:cs="Noto Sans Symbols" w:eastAsia="Noto Sans Symbols" w:hAnsi="Noto Sans Symbols"/>
        </w:rPr>
      </w:pPr>
      <w:r w:rsidDel="00000000" w:rsidR="00000000" w:rsidRPr="00000000">
        <w:rPr>
          <w:rFonts w:ascii="Arial" w:cs="Arial" w:eastAsia="Arial" w:hAnsi="Arial"/>
          <w:rtl w:val="0"/>
        </w:rPr>
        <w:t xml:space="preserve">Nie</w:t>
      </w:r>
    </w:p>
    <w:tbl>
      <w:tblPr>
        <w:tblStyle w:val="Table4"/>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0"/>
        <w:tblGridChange w:id="0">
          <w:tblGrid>
            <w:gridCol w:w="9060"/>
          </w:tblGrid>
        </w:tblGridChange>
      </w:tblGrid>
      <w:tr>
        <w:trPr>
          <w:cantSplit w:val="0"/>
          <w:tblHeader w:val="0"/>
        </w:trPr>
        <w:tc>
          <w:tcPr/>
          <w:p w:rsidR="00000000" w:rsidDel="00000000" w:rsidP="00000000" w:rsidRDefault="00000000" w:rsidRPr="00000000" w14:paraId="00000043">
            <w:pPr>
              <w:widowControl w:val="1"/>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 toku prac nad projektem rozważano następujące alternatywne sposoby rozwiązania zidentyfikowanego problemu:</w:t>
            </w:r>
          </w:p>
          <w:p w:rsidR="00000000" w:rsidDel="00000000" w:rsidP="00000000" w:rsidRDefault="00000000" w:rsidRPr="00000000" w14:paraId="00000044">
            <w:pPr>
              <w:widowControl w:val="1"/>
              <w:numPr>
                <w:ilvl w:val="0"/>
                <w:numId w:val="11"/>
              </w:numPr>
              <w:spacing w:after="0" w:afterAutospacing="0" w:before="240" w:lineRule="auto"/>
              <w:ind w:left="720" w:hanging="36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Pozostawienie regulacji liczebności oddziałów wyłącznie w akcie wykonawczym</w:t>
              <w:br w:type="textWrapping"/>
            </w:r>
            <w:r w:rsidDel="00000000" w:rsidR="00000000" w:rsidRPr="00000000">
              <w:rPr>
                <w:rFonts w:ascii="Arial" w:cs="Arial" w:eastAsia="Arial" w:hAnsi="Arial"/>
                <w:sz w:val="20"/>
                <w:szCs w:val="20"/>
                <w:rtl w:val="0"/>
              </w:rPr>
              <w:t xml:space="preserve">Rozwiązanie to polegałoby na zmianie rozporządzenia określającego organizację pracy przedszkoli, bez wprowadzania ustawowego limitu liczby dzieci w oddziale. Rozwiązanie to uznano za niewystarczające, gdyż nie zapewnia ono stabilności regulacyjnej ani trwałego uwzględnienia jakości wychowania przedszkolnego na poziomie ustawowym.</w:t>
              <w:br w:type="textWrapping"/>
            </w:r>
          </w:p>
          <w:p w:rsidR="00000000" w:rsidDel="00000000" w:rsidP="00000000" w:rsidRDefault="00000000" w:rsidRPr="00000000" w14:paraId="00000045">
            <w:pPr>
              <w:widowControl w:val="1"/>
              <w:numPr>
                <w:ilvl w:val="0"/>
                <w:numId w:val="11"/>
              </w:numPr>
              <w:spacing w:after="0" w:afterAutospacing="0" w:before="0" w:beforeAutospacing="0" w:lineRule="auto"/>
              <w:ind w:left="720" w:hanging="36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Wprowadzenie jednolitego limitu liczby dzieci w oddziale bez zmiany zasad finansowania</w:t>
              <w:br w:type="textWrapping"/>
            </w:r>
            <w:r w:rsidDel="00000000" w:rsidR="00000000" w:rsidRPr="00000000">
              <w:rPr>
                <w:rFonts w:ascii="Arial" w:cs="Arial" w:eastAsia="Arial" w:hAnsi="Arial"/>
                <w:sz w:val="20"/>
                <w:szCs w:val="20"/>
                <w:rtl w:val="0"/>
              </w:rPr>
              <w:t xml:space="preserve">Rozważano wprowadzenie ustawowego limitu liczby dzieci w oddziale przedszkola bez modyfikacji zasad podziału kwoty potrzeb oświatowych. Rozwiązanie to zostało odrzucone z uwagi na ryzyko negatywnych skutków finansowych dla jednostek samorządu terytorialnego, w szczególności w warunkach spadku liczby dzieci, oraz możliwość ograniczenia dostępności wychowania przedszkolnego.</w:t>
              <w:br w:type="textWrapping"/>
            </w:r>
          </w:p>
          <w:p w:rsidR="00000000" w:rsidDel="00000000" w:rsidP="00000000" w:rsidRDefault="00000000" w:rsidRPr="00000000" w14:paraId="00000046">
            <w:pPr>
              <w:widowControl w:val="1"/>
              <w:numPr>
                <w:ilvl w:val="0"/>
                <w:numId w:val="11"/>
              </w:numPr>
              <w:spacing w:after="0" w:afterAutospacing="0" w:before="0" w:beforeAutospacing="0" w:lineRule="auto"/>
              <w:ind w:left="720" w:hanging="36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Zastosowanie wyłącznie instrumentów finansowych bez wprowadzenia limitu ustawowego</w:t>
              <w:br w:type="textWrapping"/>
            </w:r>
            <w:r w:rsidDel="00000000" w:rsidR="00000000" w:rsidRPr="00000000">
              <w:rPr>
                <w:rFonts w:ascii="Arial" w:cs="Arial" w:eastAsia="Arial" w:hAnsi="Arial"/>
                <w:sz w:val="20"/>
                <w:szCs w:val="20"/>
                <w:rtl w:val="0"/>
              </w:rPr>
              <w:t xml:space="preserve">Alternatywą było ograniczenie interwencji ustawowej do zmiany algorytmu finansowania wychowania przedszkolnego, bez ustanawiania twardego limitu liczby dzieci w oddziale. Rozwiązanie to uznano za niewystarczające z uwagi na niestabilność regulacji na poziomie rozporządzenia ministra oraz niezapewniające jednolitych standardów organizacyjnych i jakościowych w skali kraju.</w:t>
              <w:br w:type="textWrapping"/>
            </w:r>
          </w:p>
          <w:p w:rsidR="00000000" w:rsidDel="00000000" w:rsidP="00000000" w:rsidRDefault="00000000" w:rsidRPr="00000000" w14:paraId="00000047">
            <w:pPr>
              <w:widowControl w:val="1"/>
              <w:numPr>
                <w:ilvl w:val="0"/>
                <w:numId w:val="11"/>
              </w:numPr>
              <w:spacing w:after="240" w:before="0" w:beforeAutospacing="0" w:lineRule="auto"/>
              <w:ind w:left="720" w:hanging="36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Rozwiązania przyjmowane w innych państwach OECD</w:t>
              <w:br w:type="textWrapping"/>
            </w:r>
            <w:r w:rsidDel="00000000" w:rsidR="00000000" w:rsidRPr="00000000">
              <w:rPr>
                <w:rFonts w:ascii="Arial" w:cs="Arial" w:eastAsia="Arial" w:hAnsi="Arial"/>
                <w:sz w:val="20"/>
                <w:szCs w:val="20"/>
                <w:rtl w:val="0"/>
              </w:rPr>
              <w:t xml:space="preserve">Analizy porównawcze wskazują, że w wielu państwach OECD stosowane są rozwiązania łączące standardy organizacyjne dotyczące liczebności grup z mechanizmami finansowania uwzględniającymi warunki pracy nauczycieli i jakość opieki w edukacji przedszkolnej. Projektowane rozwiązanie wpisuje się w ten model, łącząc normę organizacyjną z bodźcami finansowymi.</w:t>
            </w:r>
          </w:p>
          <w:p w:rsidR="00000000" w:rsidDel="00000000" w:rsidP="00000000" w:rsidRDefault="00000000" w:rsidRPr="00000000" w14:paraId="00000048">
            <w:pPr>
              <w:widowControl w:val="1"/>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9">
      <w:pPr>
        <w:widowControl w:val="1"/>
        <w:spacing w:after="160" w:line="259"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A">
      <w:pPr>
        <w:widowControl w:val="1"/>
        <w:spacing w:after="160" w:line="259" w:lineRule="auto"/>
        <w:jc w:val="both"/>
        <w:rPr>
          <w:rFonts w:ascii="Arial" w:cs="Arial" w:eastAsia="Arial" w:hAnsi="Arial"/>
        </w:rPr>
      </w:pPr>
      <w:r w:rsidDel="00000000" w:rsidR="00000000" w:rsidRPr="00000000">
        <w:br w:type="page"/>
      </w:r>
      <w:r w:rsidDel="00000000" w:rsidR="00000000" w:rsidRPr="00000000">
        <w:rPr>
          <w:rFonts w:ascii="Arial" w:cs="Arial" w:eastAsia="Arial" w:hAnsi="Arial"/>
          <w:b w:val="1"/>
          <w:bCs w:val="1"/>
          <w:rtl w:val="0"/>
        </w:rPr>
        <w:t xml:space="preserve">II. Wymogi określone w art. 34 ust. 2 pkt 3–5 regulaminu Sejmu</w:t>
      </w:r>
      <w:r w:rsidDel="00000000" w:rsidR="00000000" w:rsidRPr="00000000">
        <w:rPr>
          <w:rtl w:val="0"/>
        </w:rPr>
      </w:r>
    </w:p>
    <w:p w:rsidR="00000000" w:rsidDel="00000000" w:rsidP="00000000" w:rsidRDefault="00000000" w:rsidRPr="00000000" w14:paraId="0000004B">
      <w:pPr>
        <w:widowControl w:val="1"/>
        <w:spacing w:after="160" w:line="259" w:lineRule="auto"/>
        <w:jc w:val="both"/>
        <w:rPr>
          <w:rFonts w:ascii="Arial" w:cs="Arial" w:eastAsia="Arial" w:hAnsi="Arial"/>
        </w:rPr>
      </w:pPr>
      <w:r w:rsidDel="00000000" w:rsidR="00000000" w:rsidRPr="00000000">
        <w:rPr>
          <w:rFonts w:ascii="Arial" w:cs="Arial" w:eastAsia="Arial" w:hAnsi="Arial"/>
          <w:rtl w:val="0"/>
        </w:rPr>
        <w:t xml:space="preserve">[3] Jakie są przewidywane skutki prawne projektowanych rozwiązań?</w:t>
      </w:r>
    </w:p>
    <w:tbl>
      <w:tblPr>
        <w:tblStyle w:val="Table5"/>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0"/>
        <w:tblGridChange w:id="0">
          <w:tblGrid>
            <w:gridCol w:w="9060"/>
          </w:tblGrid>
        </w:tblGridChange>
      </w:tblGrid>
      <w:tr>
        <w:trPr>
          <w:cantSplit w:val="0"/>
          <w:tblHeader w:val="0"/>
        </w:trPr>
        <w:tc>
          <w:tcPr/>
          <w:p w:rsidR="00000000" w:rsidDel="00000000" w:rsidP="00000000" w:rsidRDefault="00000000" w:rsidRPr="00000000" w14:paraId="0000004C">
            <w:pPr>
              <w:widowControl w:val="1"/>
              <w:spacing w:after="240" w:before="240" w:lineRule="auto"/>
              <w:jc w:val="both"/>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Różnice pomiędzy dotychczasowym a projektowanym stanem prawnym</w:t>
            </w:r>
          </w:p>
          <w:p w:rsidR="00000000" w:rsidDel="00000000" w:rsidP="00000000" w:rsidRDefault="00000000" w:rsidRPr="00000000" w14:paraId="0000004D">
            <w:pPr>
              <w:widowControl w:val="1"/>
              <w:spacing w:after="240" w:before="240" w:lineRule="auto"/>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W dotychczasowym stanie prawnym maksymalna liczba dzieci w oddziale przedszkola nie jest określona w ustawie i wynika z przepisów wykonawczych. Z kolei zasady finansowania wychowania przedszkolnego opierają się zasadniczo na liczbie dzieci, bez uwzględnienia liczebności oddziałów jako czynnika kosztotwórczego. Projektowana regulacja wprowadza ustawowy limit liczby dzieci w oddziale przedszkola oraz modyfikuje delegację ustawową dotyczącą podziału kwoty potrzeb oświatowych, zobowiązując do uwzględniania liczby dzieci w oddziale w sposób powodujący wyższe finansowanie oddziałów o mniejszej liczbie dzieci.</w:t>
            </w:r>
          </w:p>
          <w:p w:rsidR="00000000" w:rsidDel="00000000" w:rsidP="00000000" w:rsidRDefault="00000000" w:rsidRPr="00000000" w14:paraId="0000004E">
            <w:pPr>
              <w:widowControl w:val="1"/>
              <w:spacing w:after="240" w:before="240" w:lineRule="auto"/>
              <w:jc w:val="both"/>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Spójność systemowa i terminologiczna</w:t>
            </w:r>
          </w:p>
          <w:p w:rsidR="00000000" w:rsidDel="00000000" w:rsidP="00000000" w:rsidRDefault="00000000" w:rsidRPr="00000000" w14:paraId="0000004F">
            <w:pPr>
              <w:widowControl w:val="1"/>
              <w:spacing w:after="240" w:before="240" w:lineRule="auto"/>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Projektowane rozwiązania pozostają spójne z obowiązującym systemem prawa oświatowego oraz przepisami dotyczącymi finansowania jednostek samorządu terytorialnego. Projekt nie wprowadza nowych definicji legalnych ani nie narusza dotychczasowych pojęć systemowych.</w:t>
            </w:r>
          </w:p>
          <w:p w:rsidR="00000000" w:rsidDel="00000000" w:rsidP="00000000" w:rsidRDefault="00000000" w:rsidRPr="00000000" w14:paraId="00000050">
            <w:pPr>
              <w:widowControl w:val="1"/>
              <w:spacing w:after="240" w:before="240" w:lineRule="auto"/>
              <w:jc w:val="both"/>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Zgodność z Konstytucją RP</w:t>
            </w:r>
          </w:p>
          <w:p w:rsidR="00000000" w:rsidDel="00000000" w:rsidP="00000000" w:rsidRDefault="00000000" w:rsidRPr="00000000" w14:paraId="00000051">
            <w:pPr>
              <w:widowControl w:val="1"/>
              <w:spacing w:after="240" w:before="240" w:lineRule="auto"/>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Projektowane rozwiązania są zgodne z Konstytucją RP, w szczególności z:</w:t>
            </w:r>
          </w:p>
          <w:p w:rsidR="00000000" w:rsidDel="00000000" w:rsidP="00000000" w:rsidRDefault="00000000" w:rsidRPr="00000000" w14:paraId="00000052">
            <w:pPr>
              <w:widowControl w:val="1"/>
              <w:numPr>
                <w:ilvl w:val="0"/>
                <w:numId w:val="17"/>
              </w:numPr>
              <w:spacing w:after="0" w:afterAutospacing="0" w:before="240" w:lineRule="auto"/>
              <w:ind w:left="720" w:hanging="36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art. 70 ust. 4 Konstytucji RP, który nakłada na władze publiczne obowiązek zapewnienia powszechnego i równego dostępu do edukacji;</w:t>
              <w:br w:type="textWrapping"/>
            </w:r>
          </w:p>
          <w:p w:rsidR="00000000" w:rsidDel="00000000" w:rsidP="00000000" w:rsidRDefault="00000000" w:rsidRPr="00000000" w14:paraId="00000053">
            <w:pPr>
              <w:widowControl w:val="1"/>
              <w:numPr>
                <w:ilvl w:val="0"/>
                <w:numId w:val="17"/>
              </w:numPr>
              <w:spacing w:after="0" w:afterAutospacing="0" w:before="0" w:beforeAutospacing="0" w:lineRule="auto"/>
              <w:ind w:left="720" w:hanging="36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art. 167 ust. 1 Konstytucji RP, poprzez wprowadzenie rozwiązań umożliwiających jednostkom samorządu terytorialnego dostosowanie organizacyjne i finansowe do nowych standardów;</w:t>
              <w:br w:type="textWrapping"/>
            </w:r>
          </w:p>
          <w:p w:rsidR="00000000" w:rsidDel="00000000" w:rsidP="00000000" w:rsidRDefault="00000000" w:rsidRPr="00000000" w14:paraId="00000054">
            <w:pPr>
              <w:widowControl w:val="1"/>
              <w:numPr>
                <w:ilvl w:val="0"/>
                <w:numId w:val="17"/>
              </w:numPr>
              <w:spacing w:after="240" w:before="0" w:beforeAutospacing="0" w:lineRule="auto"/>
              <w:ind w:left="720" w:hanging="360"/>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zasadą ochrony zaufania obywateli do państwa i stanowionego przez nie prawa, dzięki wprowadzeniu zróżnicowanych terminów wejścia w życie oraz przepisów przejściowych.</w:t>
            </w:r>
          </w:p>
          <w:p w:rsidR="00000000" w:rsidDel="00000000" w:rsidP="00000000" w:rsidRDefault="00000000" w:rsidRPr="00000000" w14:paraId="00000055">
            <w:pPr>
              <w:widowControl w:val="1"/>
              <w:spacing w:after="240" w:before="240" w:lineRule="auto"/>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Projekt nie narusza konstytucyjnych wolności i praw jednostki.</w:t>
            </w:r>
          </w:p>
          <w:p w:rsidR="00000000" w:rsidDel="00000000" w:rsidP="00000000" w:rsidRDefault="00000000" w:rsidRPr="00000000" w14:paraId="00000056">
            <w:pPr>
              <w:widowControl w:val="1"/>
              <w:spacing w:after="240" w:before="240" w:lineRule="auto"/>
              <w:jc w:val="both"/>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Zgodność z prawem międzynarodowym i prawem Unii Europejskiej</w:t>
            </w:r>
          </w:p>
          <w:p w:rsidR="00000000" w:rsidDel="00000000" w:rsidP="00000000" w:rsidRDefault="00000000" w:rsidRPr="00000000" w14:paraId="00000057">
            <w:pPr>
              <w:widowControl w:val="1"/>
              <w:spacing w:after="240" w:before="240" w:lineRule="auto"/>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R</w:t>
            </w:r>
            <w:r w:rsidDel="00000000" w:rsidR="00000000" w:rsidRPr="00000000">
              <w:rPr>
                <w:rFonts w:ascii="Aptos" w:cs="Aptos" w:eastAsia="Aptos" w:hAnsi="Aptos"/>
                <w:sz w:val="20"/>
                <w:szCs w:val="20"/>
                <w:rtl w:val="0"/>
              </w:rPr>
              <w:t xml:space="preserve">egulacja dotyczy organizacji krajowego systemu wychowania przedszkolnego oraz zasad finansowania jednostek samorządu terytorialnego, co mieści się w kompetencjach państw członkowskich. Projekt nie narusza swobody świadczenia usług ani zasad rynku wewnętrznego UE.</w:t>
            </w:r>
          </w:p>
          <w:p w:rsidR="00000000" w:rsidDel="00000000" w:rsidP="00000000" w:rsidRDefault="00000000" w:rsidRPr="00000000" w14:paraId="00000058">
            <w:pPr>
              <w:widowControl w:val="1"/>
              <w:spacing w:after="240" w:before="240" w:lineRule="auto"/>
              <w:jc w:val="both"/>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Termin wejścia w życie oraz rozwiązania przejściowe</w:t>
            </w:r>
          </w:p>
          <w:p w:rsidR="00000000" w:rsidDel="00000000" w:rsidP="00000000" w:rsidRDefault="00000000" w:rsidRPr="00000000" w14:paraId="00000059">
            <w:pPr>
              <w:widowControl w:val="1"/>
              <w:spacing w:after="240" w:before="240" w:lineRule="auto"/>
              <w:jc w:val="both"/>
              <w:rPr>
                <w:rFonts w:ascii="Aptos" w:cs="Aptos" w:eastAsia="Aptos" w:hAnsi="Aptos"/>
                <w:sz w:val="20"/>
                <w:szCs w:val="20"/>
              </w:rPr>
            </w:pPr>
            <w:r w:rsidDel="00000000" w:rsidR="00000000" w:rsidRPr="00000000">
              <w:rPr>
                <w:rFonts w:ascii="Aptos" w:cs="Aptos" w:eastAsia="Aptos" w:hAnsi="Aptos"/>
                <w:sz w:val="20"/>
                <w:szCs w:val="20"/>
                <w:rtl w:val="0"/>
              </w:rPr>
              <w:t xml:space="preserve">Projekt przewiduje zróżnicowane terminy wejścia w życie poszczególnych przepisów, co umożliwia stopniowe dostosowanie systemu wychowania przedszkolnego do nowych rozwiązań. Zmiany w zasadach finansowania wychowania przedszkolnego wchodzą w życie z początkiem roku budżetowego, natomiast ustawowy limit liczby dzieci w oddziale przedszkola – z początkiem roku szkolnego 2028/29, co jest uzasadnione zapewnieniem odpowiedniego czasu dla jednostek samorządu terytorialnego i przedszkoli na przygotowanie się do wejścia w życie nowej regulacji. </w:t>
            </w:r>
          </w:p>
        </w:tc>
      </w:tr>
    </w:tbl>
    <w:p w:rsidR="00000000" w:rsidDel="00000000" w:rsidP="00000000" w:rsidRDefault="00000000" w:rsidRPr="00000000" w14:paraId="0000005A">
      <w:pPr>
        <w:widowControl w:val="1"/>
        <w:spacing w:after="160" w:line="259"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B">
      <w:pPr>
        <w:widowControl w:val="1"/>
        <w:spacing w:after="160" w:line="259" w:lineRule="auto"/>
        <w:jc w:val="both"/>
        <w:rPr>
          <w:rFonts w:ascii="Arial" w:cs="Arial" w:eastAsia="Arial" w:hAnsi="Arial"/>
        </w:rPr>
      </w:pPr>
      <w:bookmarkStart w:colFirst="0" w:colLast="0" w:name="_72hdkfkogm31" w:id="2"/>
      <w:bookmarkEnd w:id="2"/>
      <w:r w:rsidDel="00000000" w:rsidR="00000000" w:rsidRPr="00000000">
        <w:rPr>
          <w:rFonts w:ascii="Arial" w:cs="Arial" w:eastAsia="Arial" w:hAnsi="Arial"/>
          <w:rtl w:val="0"/>
        </w:rPr>
        <w:br w:type="textWrapping"/>
        <w:br w:type="textWrapping"/>
        <w:br w:type="textWrapping"/>
        <w:t xml:space="preserve">[4] Jakie są przewidywane skutki społeczne projektowanych rozwiązań?</w:t>
      </w:r>
    </w:p>
    <w:tbl>
      <w:tblPr>
        <w:tblStyle w:val="Table6"/>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0"/>
        <w:tblGridChange w:id="0">
          <w:tblGrid>
            <w:gridCol w:w="9060"/>
          </w:tblGrid>
        </w:tblGridChange>
      </w:tblGrid>
      <w:tr>
        <w:trPr>
          <w:cantSplit w:val="0"/>
          <w:trHeight w:val="3931.73583984374" w:hRule="atLeast"/>
          <w:tblHeader w:val="0"/>
        </w:trPr>
        <w:tc>
          <w:tcPr/>
          <w:p w:rsidR="00000000" w:rsidDel="00000000" w:rsidP="00000000" w:rsidRDefault="00000000" w:rsidRPr="00000000" w14:paraId="0000005C">
            <w:pPr>
              <w:widowControl w:val="1"/>
              <w:spacing w:after="240" w:befor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Podmioty, na które oddziałuje projekt</w:t>
            </w:r>
          </w:p>
          <w:p w:rsidR="00000000" w:rsidDel="00000000" w:rsidP="00000000" w:rsidRDefault="00000000" w:rsidRPr="00000000" w14:paraId="0000005D">
            <w:pPr>
              <w:widowControl w:val="1"/>
              <w:numPr>
                <w:ilvl w:val="0"/>
                <w:numId w:val="13"/>
              </w:numPr>
              <w:spacing w:after="0" w:afterAutospacing="0" w:before="240" w:lineRule="auto"/>
              <w:ind w:left="720" w:hanging="36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Dzieci objęte wychowaniem przedszkolnym</w:t>
            </w:r>
            <w:r w:rsidDel="00000000" w:rsidR="00000000" w:rsidRPr="00000000">
              <w:rPr>
                <w:rFonts w:ascii="Arial" w:cs="Arial" w:eastAsia="Arial" w:hAnsi="Arial"/>
                <w:sz w:val="20"/>
                <w:szCs w:val="20"/>
                <w:rtl w:val="0"/>
              </w:rPr>
              <w:t xml:space="preserve"> – ok. </w:t>
            </w:r>
            <w:r w:rsidDel="00000000" w:rsidR="00000000" w:rsidRPr="00000000">
              <w:rPr>
                <w:rFonts w:ascii="Arial" w:cs="Arial" w:eastAsia="Arial" w:hAnsi="Arial"/>
                <w:b w:val="1"/>
                <w:bCs w:val="1"/>
                <w:sz w:val="20"/>
                <w:szCs w:val="20"/>
                <w:rtl w:val="0"/>
              </w:rPr>
              <w:t xml:space="preserve">1.452.357 dzieci</w:t>
            </w:r>
            <w:r w:rsidDel="00000000" w:rsidR="00000000" w:rsidRPr="00000000">
              <w:rPr>
                <w:rFonts w:ascii="Arial" w:cs="Arial" w:eastAsia="Arial" w:hAnsi="Arial"/>
                <w:sz w:val="20"/>
                <w:szCs w:val="20"/>
                <w:rtl w:val="0"/>
              </w:rPr>
              <w:t xml:space="preserve"> (rok szkolny 2024/2025).</w:t>
            </w:r>
          </w:p>
          <w:p w:rsidR="00000000" w:rsidDel="00000000" w:rsidP="00000000" w:rsidRDefault="00000000" w:rsidRPr="00000000" w14:paraId="0000005E">
            <w:pPr>
              <w:widowControl w:val="1"/>
              <w:numPr>
                <w:ilvl w:val="0"/>
                <w:numId w:val="13"/>
              </w:numPr>
              <w:spacing w:after="0" w:afterAutospacing="0" w:before="0" w:beforeAutospacing="0" w:lineRule="auto"/>
              <w:ind w:left="720" w:hanging="36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Rodzice/opiekunowie prawni dzieci w wieku przedszkolnym</w:t>
            </w:r>
            <w:r w:rsidDel="00000000" w:rsidR="00000000" w:rsidRPr="00000000">
              <w:rPr>
                <w:rFonts w:ascii="Arial" w:cs="Arial" w:eastAsia="Arial" w:hAnsi="Arial"/>
                <w:sz w:val="20"/>
                <w:szCs w:val="20"/>
                <w:rtl w:val="0"/>
              </w:rPr>
              <w:t xml:space="preserve"> – skala pośrednio odpowiada liczbie dzieci objętych wychowaniem przedszkolnym (jak wyżej).</w:t>
            </w:r>
          </w:p>
          <w:p w:rsidR="00000000" w:rsidDel="00000000" w:rsidP="00000000" w:rsidRDefault="00000000" w:rsidRPr="00000000" w14:paraId="0000005F">
            <w:pPr>
              <w:widowControl w:val="1"/>
              <w:numPr>
                <w:ilvl w:val="0"/>
                <w:numId w:val="13"/>
              </w:numPr>
              <w:spacing w:after="0" w:afterAutospacing="0" w:before="0" w:beforeAutospacing="0" w:lineRule="auto"/>
              <w:ind w:left="720" w:hanging="36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Pracownicy przedszkoli (nauczyciele i personel wspierający)</w:t>
            </w:r>
            <w:r w:rsidDel="00000000" w:rsidR="00000000" w:rsidRPr="00000000">
              <w:rPr>
                <w:rFonts w:ascii="Arial" w:cs="Arial" w:eastAsia="Arial" w:hAnsi="Arial"/>
                <w:sz w:val="20"/>
                <w:szCs w:val="20"/>
                <w:rtl w:val="0"/>
              </w:rPr>
              <w:t xml:space="preserve"> – projekt oddziałuje na warunki pracy poprzez zmianę organizacji oddziałów w sposób zmniejszający liczbę dzieci przypadającą na oddział przedszkola.</w:t>
            </w:r>
          </w:p>
          <w:p w:rsidR="00000000" w:rsidDel="00000000" w:rsidP="00000000" w:rsidRDefault="00000000" w:rsidRPr="00000000" w14:paraId="00000060">
            <w:pPr>
              <w:widowControl w:val="1"/>
              <w:numPr>
                <w:ilvl w:val="0"/>
                <w:numId w:val="13"/>
              </w:numPr>
              <w:spacing w:after="240" w:before="0" w:beforeAutospacing="0" w:lineRule="auto"/>
              <w:ind w:left="720" w:hanging="36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Społeczności lokalne</w:t>
            </w:r>
            <w:r w:rsidDel="00000000" w:rsidR="00000000" w:rsidRPr="00000000">
              <w:rPr>
                <w:rFonts w:ascii="Arial" w:cs="Arial" w:eastAsia="Arial" w:hAnsi="Arial"/>
                <w:sz w:val="20"/>
                <w:szCs w:val="20"/>
                <w:rtl w:val="0"/>
              </w:rPr>
              <w:t xml:space="preserve"> – w szczególności na obszarach dotkniętych spadkiem liczby dzieci.</w:t>
            </w:r>
          </w:p>
          <w:p w:rsidR="00000000" w:rsidDel="00000000" w:rsidP="00000000" w:rsidRDefault="00000000" w:rsidRPr="00000000" w14:paraId="00000061">
            <w:pPr>
              <w:widowControl w:val="1"/>
              <w:spacing w:after="240" w:befor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Skala organizacyjna</w:t>
            </w:r>
          </w:p>
          <w:p w:rsidR="00000000" w:rsidDel="00000000" w:rsidP="00000000" w:rsidRDefault="00000000" w:rsidRPr="00000000" w14:paraId="00000062">
            <w:pPr>
              <w:widowControl w:val="1"/>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 roku szkolnym 2024/2025 wychowanie przedszkolne było realizowane w ok. </w:t>
            </w:r>
            <w:r w:rsidDel="00000000" w:rsidR="00000000" w:rsidRPr="00000000">
              <w:rPr>
                <w:rFonts w:ascii="Arial" w:cs="Arial" w:eastAsia="Arial" w:hAnsi="Arial"/>
                <w:b w:val="1"/>
                <w:bCs w:val="1"/>
                <w:sz w:val="20"/>
                <w:szCs w:val="20"/>
                <w:rtl w:val="0"/>
              </w:rPr>
              <w:t xml:space="preserve">75.098 oddziałach</w:t>
            </w:r>
            <w:r w:rsidDel="00000000" w:rsidR="00000000" w:rsidRPr="00000000">
              <w:rPr>
                <w:rFonts w:ascii="Arial" w:cs="Arial" w:eastAsia="Arial" w:hAnsi="Arial"/>
                <w:sz w:val="20"/>
                <w:szCs w:val="20"/>
                <w:rtl w:val="0"/>
              </w:rPr>
              <w:t xml:space="preserve">, przy przeciętnej liczebności ok. </w:t>
            </w:r>
            <w:r w:rsidDel="00000000" w:rsidR="00000000" w:rsidRPr="00000000">
              <w:rPr>
                <w:rFonts w:ascii="Arial" w:cs="Arial" w:eastAsia="Arial" w:hAnsi="Arial"/>
                <w:b w:val="1"/>
                <w:bCs w:val="1"/>
                <w:sz w:val="20"/>
                <w:szCs w:val="20"/>
                <w:rtl w:val="0"/>
              </w:rPr>
              <w:t xml:space="preserve">19 dzieci na oddział</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63">
            <w:pPr>
              <w:widowControl w:val="1"/>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Skala ta pozwala szacować, że projektowane rozwiązanie dotyczy systemowo całego obszaru wychowania przedszkolnego, przy czym potrzeba dostosowania liczebności oddziałów nie będzie daleko idąca, biorąc pod uwagę ustalenie limitu na poziomie niewiele odbiegającym od średniej krajowej.</w:t>
            </w:r>
          </w:p>
          <w:p w:rsidR="00000000" w:rsidDel="00000000" w:rsidP="00000000" w:rsidRDefault="00000000" w:rsidRPr="00000000" w14:paraId="00000064">
            <w:pPr>
              <w:widowControl w:val="1"/>
              <w:spacing w:after="240" w:befor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Wpływ projektu</w:t>
            </w:r>
          </w:p>
          <w:p w:rsidR="00000000" w:rsidDel="00000000" w:rsidP="00000000" w:rsidRDefault="00000000" w:rsidRPr="00000000" w14:paraId="00000065">
            <w:pPr>
              <w:widowControl w:val="1"/>
              <w:numPr>
                <w:ilvl w:val="0"/>
                <w:numId w:val="9"/>
              </w:numPr>
              <w:spacing w:after="0" w:afterAutospacing="0" w:before="240" w:lineRule="auto"/>
              <w:ind w:left="720" w:hanging="36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Dzieci</w:t>
            </w:r>
            <w:r w:rsidDel="00000000" w:rsidR="00000000" w:rsidRPr="00000000">
              <w:rPr>
                <w:rFonts w:ascii="Arial" w:cs="Arial" w:eastAsia="Arial" w:hAnsi="Arial"/>
                <w:sz w:val="20"/>
                <w:szCs w:val="20"/>
                <w:rtl w:val="0"/>
              </w:rPr>
              <w:t xml:space="preserve">: potencjalna poprawa jakości opieki i wychowania dzięki mniejszym grupom, większa możliwość indywidualnej pracy nauczyciela z dzieckiem, lepsze warunki wsparcia rozwoju społeczno-emocjonalnego i poznawczego.</w:t>
            </w:r>
          </w:p>
          <w:p w:rsidR="00000000" w:rsidDel="00000000" w:rsidP="00000000" w:rsidRDefault="00000000" w:rsidRPr="00000000" w14:paraId="00000066">
            <w:pPr>
              <w:widowControl w:val="1"/>
              <w:numPr>
                <w:ilvl w:val="0"/>
                <w:numId w:val="9"/>
              </w:numPr>
              <w:spacing w:after="0" w:afterAutospacing="0" w:before="0" w:beforeAutospacing="0" w:lineRule="auto"/>
              <w:ind w:left="720" w:hanging="36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Rodziny/opiekunowie</w:t>
            </w:r>
            <w:r w:rsidDel="00000000" w:rsidR="00000000" w:rsidRPr="00000000">
              <w:rPr>
                <w:rFonts w:ascii="Arial" w:cs="Arial" w:eastAsia="Arial" w:hAnsi="Arial"/>
                <w:sz w:val="20"/>
                <w:szCs w:val="20"/>
                <w:rtl w:val="0"/>
              </w:rPr>
              <w:t xml:space="preserve">: poprawa poczucia bezpieczeństwa i przewidywalności, mniejsze ryzyko redukcji oddziałów z powodu niskiej liczebności”, utrzymanie dostępności miejsc w przedszkolach</w:t>
            </w:r>
          </w:p>
          <w:p w:rsidR="00000000" w:rsidDel="00000000" w:rsidP="00000000" w:rsidRDefault="00000000" w:rsidRPr="00000000" w14:paraId="00000067">
            <w:pPr>
              <w:widowControl w:val="1"/>
              <w:numPr>
                <w:ilvl w:val="0"/>
                <w:numId w:val="9"/>
              </w:numPr>
              <w:spacing w:after="0" w:afterAutospacing="0" w:before="0" w:beforeAutospacing="0" w:lineRule="auto"/>
              <w:ind w:left="720" w:hanging="36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Pracownicy przedszkoli</w:t>
            </w:r>
            <w:r w:rsidDel="00000000" w:rsidR="00000000" w:rsidRPr="00000000">
              <w:rPr>
                <w:rFonts w:ascii="Arial" w:cs="Arial" w:eastAsia="Arial" w:hAnsi="Arial"/>
                <w:sz w:val="20"/>
                <w:szCs w:val="20"/>
                <w:rtl w:val="0"/>
              </w:rPr>
              <w:t xml:space="preserve">: poprawa warunków pracy i relacji nauczyciel-dziecko, mniej obciążająca organizacja pracy, potencjalnie mniejsze ryzyko wypalenia zawodowego.</w:t>
            </w:r>
          </w:p>
          <w:p w:rsidR="00000000" w:rsidDel="00000000" w:rsidP="00000000" w:rsidRDefault="00000000" w:rsidRPr="00000000" w14:paraId="00000068">
            <w:pPr>
              <w:widowControl w:val="1"/>
              <w:numPr>
                <w:ilvl w:val="0"/>
                <w:numId w:val="9"/>
              </w:numPr>
              <w:spacing w:after="240" w:before="0" w:beforeAutospacing="0" w:lineRule="auto"/>
              <w:ind w:left="720" w:hanging="36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Społeczności lokalne</w:t>
            </w:r>
            <w:r w:rsidDel="00000000" w:rsidR="00000000" w:rsidRPr="00000000">
              <w:rPr>
                <w:rFonts w:ascii="Arial" w:cs="Arial" w:eastAsia="Arial" w:hAnsi="Arial"/>
                <w:sz w:val="20"/>
                <w:szCs w:val="20"/>
                <w:rtl w:val="0"/>
              </w:rPr>
              <w:t xml:space="preserve">: ograniczenie presji na likwidację oddziałów/placówek w warunkach niżu demograficznego oraz utrzymanie dostępności usług publicznych w miejscu zamieszkania.</w:t>
            </w:r>
          </w:p>
          <w:p w:rsidR="00000000" w:rsidDel="00000000" w:rsidP="00000000" w:rsidRDefault="00000000" w:rsidRPr="00000000" w14:paraId="00000069">
            <w:pPr>
              <w:widowControl w:val="1"/>
              <w:spacing w:after="240" w:befor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Skutki pozytywne i negatywne w sferze społecznej</w:t>
            </w:r>
          </w:p>
          <w:p w:rsidR="00000000" w:rsidDel="00000000" w:rsidP="00000000" w:rsidRDefault="00000000" w:rsidRPr="00000000" w14:paraId="0000006A">
            <w:pPr>
              <w:widowControl w:val="1"/>
              <w:numPr>
                <w:ilvl w:val="0"/>
                <w:numId w:val="21"/>
              </w:numPr>
              <w:spacing w:after="0" w:afterAutospacing="0" w:before="240" w:lineRule="auto"/>
              <w:ind w:left="720" w:hanging="36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Korzyści społeczne</w:t>
            </w:r>
            <w:r w:rsidDel="00000000" w:rsidR="00000000" w:rsidRPr="00000000">
              <w:rPr>
                <w:rFonts w:ascii="Arial" w:cs="Arial" w:eastAsia="Arial" w:hAnsi="Arial"/>
                <w:sz w:val="20"/>
                <w:szCs w:val="20"/>
                <w:rtl w:val="0"/>
              </w:rPr>
              <w:t xml:space="preserve">: poprawa warunków wychowania przedszkolnego poprzez zapewnienie większej indywidualizacji pracy; stabilizacja sieci przedszkoli w warunkach spadku liczby dzieci.</w:t>
            </w:r>
          </w:p>
          <w:p w:rsidR="00000000" w:rsidDel="00000000" w:rsidP="00000000" w:rsidRDefault="00000000" w:rsidRPr="00000000" w14:paraId="0000006B">
            <w:pPr>
              <w:widowControl w:val="1"/>
              <w:numPr>
                <w:ilvl w:val="0"/>
                <w:numId w:val="21"/>
              </w:numPr>
              <w:spacing w:after="240" w:before="0" w:beforeAutospacing="0" w:lineRule="auto"/>
              <w:ind w:left="720" w:hanging="36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Potencjalne koszty społeczne</w:t>
            </w:r>
            <w:r w:rsidDel="00000000" w:rsidR="00000000" w:rsidRPr="00000000">
              <w:rPr>
                <w:rFonts w:ascii="Arial" w:cs="Arial" w:eastAsia="Arial" w:hAnsi="Arial"/>
                <w:sz w:val="20"/>
                <w:szCs w:val="20"/>
                <w:rtl w:val="0"/>
              </w:rPr>
              <w:t xml:space="preserve">: krótkookresowe dostosowania organizacyjne w części jednostek samorządu terytorialnego, np. potrzeba zmian lokalowych/organizacyjnych w placówkach. Koszty te są ograniczane przez przewidziane terminy wejścia w życie i przepisy przejściowe.</w:t>
            </w:r>
          </w:p>
          <w:p w:rsidR="00000000" w:rsidDel="00000000" w:rsidP="00000000" w:rsidRDefault="00000000" w:rsidRPr="00000000" w14:paraId="0000006C">
            <w:pPr>
              <w:widowControl w:val="1"/>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Kwotowe ujęcie (w mln zł) skutków społecznych będzie powiązane z analizą skutków finansowych dla jednostek samorządu terytorialnego i budżetu państwa (pkt [6]) i zostanie oparte na danych o liczbie oddziałów oraz przeciętnej liczebności oddziału (GUS) oraz na założeniach dotyczących skali tworzenia dodatkowych oddziałów w jednostkach samorządu terytorialnego, w których średnia liczebność przekracza projektowany limit.</w:t>
            </w:r>
          </w:p>
          <w:p w:rsidR="00000000" w:rsidDel="00000000" w:rsidP="00000000" w:rsidRDefault="00000000" w:rsidRPr="00000000" w14:paraId="0000006D">
            <w:pPr>
              <w:widowControl w:val="1"/>
              <w:spacing w:after="240" w:befor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E">
            <w:pPr>
              <w:widowControl w:val="1"/>
              <w:spacing w:after="240" w:befor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Źródła danych, metodyka i założenia</w:t>
            </w:r>
          </w:p>
          <w:p w:rsidR="00000000" w:rsidDel="00000000" w:rsidP="00000000" w:rsidRDefault="00000000" w:rsidRPr="00000000" w14:paraId="0000006F">
            <w:pPr>
              <w:widowControl w:val="1"/>
              <w:spacing w:after="240" w:before="240"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Źródło danych o skali wychowania przedszkolnego: dane GUS przywołane w uzasadnieniu projektu.</w:t>
            </w:r>
          </w:p>
          <w:p w:rsidR="00000000" w:rsidDel="00000000" w:rsidP="00000000" w:rsidRDefault="00000000" w:rsidRPr="00000000" w14:paraId="00000070">
            <w:pPr>
              <w:widowControl w:val="1"/>
              <w:spacing w:after="240" w:before="240"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Źródło danych o związku jakości kształcenia i liczby osób w oddziale przedszkolnym: raport OECD przywołany w uzasadnieniu projektu.</w:t>
            </w:r>
          </w:p>
          <w:p w:rsidR="00000000" w:rsidDel="00000000" w:rsidP="00000000" w:rsidRDefault="00000000" w:rsidRPr="00000000" w14:paraId="00000071">
            <w:pPr>
              <w:widowControl w:val="1"/>
              <w:spacing w:after="240" w:before="240"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Metodyka: opisowa ocena wpływu społecznego na grupy interesariuszy; dane liczbowe wykorzystane do określenia skali oddziaływania (dzieci, oddziały)</w:t>
            </w:r>
          </w:p>
        </w:tc>
      </w:tr>
    </w:tbl>
    <w:p w:rsidR="00000000" w:rsidDel="00000000" w:rsidP="00000000" w:rsidRDefault="00000000" w:rsidRPr="00000000" w14:paraId="00000072">
      <w:pPr>
        <w:widowControl w:val="1"/>
        <w:spacing w:after="160" w:line="259"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3">
      <w:pPr>
        <w:widowControl w:val="1"/>
        <w:spacing w:after="160" w:line="259" w:lineRule="auto"/>
        <w:jc w:val="both"/>
        <w:rPr>
          <w:rFonts w:ascii="Arial" w:cs="Arial" w:eastAsia="Arial" w:hAnsi="Arial"/>
        </w:rPr>
      </w:pPr>
      <w:r w:rsidDel="00000000" w:rsidR="00000000" w:rsidRPr="00000000">
        <w:rPr>
          <w:rFonts w:ascii="Arial" w:cs="Arial" w:eastAsia="Arial" w:hAnsi="Arial"/>
          <w:rtl w:val="0"/>
        </w:rPr>
        <w:t xml:space="preserve">[5] Jakie są przewidywane skutki gospodarcze projektowanych rozwiązań?</w:t>
      </w:r>
    </w:p>
    <w:tbl>
      <w:tblPr>
        <w:tblStyle w:val="Table7"/>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0"/>
        <w:tblGridChange w:id="0">
          <w:tblGrid>
            <w:gridCol w:w="9060"/>
          </w:tblGrid>
        </w:tblGridChange>
      </w:tblGrid>
      <w:tr>
        <w:trPr>
          <w:cantSplit w:val="0"/>
          <w:trHeight w:val="3931.73583984374" w:hRule="atLeast"/>
          <w:tblHeader w:val="0"/>
        </w:trPr>
        <w:tc>
          <w:tcPr/>
          <w:p w:rsidR="00000000" w:rsidDel="00000000" w:rsidP="00000000" w:rsidRDefault="00000000" w:rsidRPr="00000000" w14:paraId="00000074">
            <w:pPr>
              <w:widowControl w:val="1"/>
              <w:spacing w:after="240" w:befor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Podmioty, na które wpływa projekt</w:t>
            </w:r>
          </w:p>
          <w:p w:rsidR="00000000" w:rsidDel="00000000" w:rsidP="00000000" w:rsidRDefault="00000000" w:rsidRPr="00000000" w14:paraId="00000075">
            <w:pPr>
              <w:widowControl w:val="1"/>
              <w:numPr>
                <w:ilvl w:val="0"/>
                <w:numId w:val="1"/>
              </w:numPr>
              <w:spacing w:after="0" w:afterAutospacing="0" w:before="240" w:lineRule="auto"/>
              <w:ind w:left="72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Jednostki samorządu terytorialnego</w:t>
            </w:r>
            <w:r w:rsidDel="00000000" w:rsidR="00000000" w:rsidRPr="00000000">
              <w:rPr>
                <w:rFonts w:ascii="Arial" w:cs="Arial" w:eastAsia="Arial" w:hAnsi="Arial"/>
                <w:sz w:val="20"/>
                <w:szCs w:val="20"/>
                <w:rtl w:val="0"/>
              </w:rPr>
              <w:t xml:space="preserve"> – jako organizatorzy wychowania przedszkolnego</w:t>
            </w:r>
            <w:r w:rsidDel="00000000" w:rsidR="00000000" w:rsidRPr="00000000">
              <w:rPr>
                <w:rtl w:val="0"/>
              </w:rPr>
            </w:r>
          </w:p>
          <w:p w:rsidR="00000000" w:rsidDel="00000000" w:rsidP="00000000" w:rsidRDefault="00000000" w:rsidRPr="00000000" w14:paraId="00000076">
            <w:pPr>
              <w:widowControl w:val="1"/>
              <w:numPr>
                <w:ilvl w:val="0"/>
                <w:numId w:val="1"/>
              </w:numPr>
              <w:spacing w:after="0" w:afterAutospacing="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Rynek pracy</w:t>
            </w:r>
            <w:r w:rsidDel="00000000" w:rsidR="00000000" w:rsidRPr="00000000">
              <w:rPr>
                <w:rFonts w:ascii="Arial" w:cs="Arial" w:eastAsia="Arial" w:hAnsi="Arial"/>
                <w:sz w:val="20"/>
                <w:szCs w:val="20"/>
                <w:rtl w:val="0"/>
              </w:rPr>
              <w:t xml:space="preserve"> – w szczególności nauczyciele wychowania przedszkolnego oraz personel pomocniczy.</w:t>
            </w:r>
          </w:p>
          <w:p w:rsidR="00000000" w:rsidDel="00000000" w:rsidP="00000000" w:rsidRDefault="00000000" w:rsidRPr="00000000" w14:paraId="00000077">
            <w:pPr>
              <w:widowControl w:val="1"/>
              <w:numPr>
                <w:ilvl w:val="0"/>
                <w:numId w:val="1"/>
              </w:numPr>
              <w:spacing w:after="0" w:afterAutospacing="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Rodzice/opiekunowie dzieci w wieku przedszkolnym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jako uczestnicy rynku pracy</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78">
            <w:pPr>
              <w:widowControl w:val="1"/>
              <w:numPr>
                <w:ilvl w:val="0"/>
                <w:numId w:val="1"/>
              </w:numPr>
              <w:spacing w:after="24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Podmioty prowadzące niepubliczne przedszkola</w:t>
            </w:r>
            <w:r w:rsidDel="00000000" w:rsidR="00000000" w:rsidRPr="00000000">
              <w:rPr>
                <w:rFonts w:ascii="Arial" w:cs="Arial" w:eastAsia="Arial" w:hAnsi="Arial"/>
                <w:sz w:val="20"/>
                <w:szCs w:val="20"/>
                <w:rtl w:val="0"/>
              </w:rPr>
              <w:t xml:space="preserve">  – w tym mikro- i małe przedsiębiorstwa.</w:t>
            </w:r>
          </w:p>
          <w:p w:rsidR="00000000" w:rsidDel="00000000" w:rsidP="00000000" w:rsidRDefault="00000000" w:rsidRPr="00000000" w14:paraId="00000079">
            <w:pPr>
              <w:widowControl w:val="1"/>
              <w:spacing w:after="240" w:befor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Liczebność podmiotów</w:t>
            </w:r>
          </w:p>
          <w:p w:rsidR="00000000" w:rsidDel="00000000" w:rsidP="00000000" w:rsidRDefault="00000000" w:rsidRPr="00000000" w14:paraId="0000007A">
            <w:pPr>
              <w:widowControl w:val="1"/>
              <w:spacing w:after="240" w:befor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Wychowaniem przedszkolnym objętych jest ok. </w:t>
            </w:r>
            <w:r w:rsidDel="00000000" w:rsidR="00000000" w:rsidRPr="00000000">
              <w:rPr>
                <w:rFonts w:ascii="Arial" w:cs="Arial" w:eastAsia="Arial" w:hAnsi="Arial"/>
                <w:b w:val="1"/>
                <w:bCs w:val="1"/>
                <w:sz w:val="20"/>
                <w:szCs w:val="20"/>
                <w:rtl w:val="0"/>
              </w:rPr>
              <w:t xml:space="preserve">1,45 mln dzieci</w:t>
            </w:r>
            <w:r w:rsidDel="00000000" w:rsidR="00000000" w:rsidRPr="00000000">
              <w:rPr>
                <w:rFonts w:ascii="Arial" w:cs="Arial" w:eastAsia="Arial" w:hAnsi="Arial"/>
                <w:sz w:val="20"/>
                <w:szCs w:val="20"/>
                <w:rtl w:val="0"/>
              </w:rPr>
              <w:t xml:space="preserve"> w skali kraju, funkcjonujących w ok. </w:t>
            </w:r>
            <w:r w:rsidDel="00000000" w:rsidR="00000000" w:rsidRPr="00000000">
              <w:rPr>
                <w:rFonts w:ascii="Arial" w:cs="Arial" w:eastAsia="Arial" w:hAnsi="Arial"/>
                <w:b w:val="1"/>
                <w:bCs w:val="1"/>
                <w:sz w:val="20"/>
                <w:szCs w:val="20"/>
                <w:rtl w:val="0"/>
              </w:rPr>
              <w:t xml:space="preserve">75 tys. oddziałów</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7B">
            <w:pPr>
              <w:widowControl w:val="1"/>
              <w:spacing w:after="240" w:befor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 Wpływ projektu – ujęcie niepieniężne (niemierzalne)</w:t>
            </w:r>
          </w:p>
          <w:p w:rsidR="00000000" w:rsidDel="00000000" w:rsidP="00000000" w:rsidRDefault="00000000" w:rsidRPr="00000000" w14:paraId="0000007C">
            <w:pPr>
              <w:widowControl w:val="1"/>
              <w:numPr>
                <w:ilvl w:val="0"/>
                <w:numId w:val="20"/>
              </w:numPr>
              <w:spacing w:after="0" w:afterAutospacing="0" w:before="240" w:lineRule="auto"/>
              <w:ind w:left="72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Rynek pracy</w:t>
            </w:r>
            <w:r w:rsidDel="00000000" w:rsidR="00000000" w:rsidRPr="00000000">
              <w:rPr>
                <w:rFonts w:ascii="Arial" w:cs="Arial" w:eastAsia="Arial" w:hAnsi="Arial"/>
                <w:sz w:val="20"/>
                <w:szCs w:val="20"/>
                <w:rtl w:val="0"/>
              </w:rPr>
              <w:t xml:space="preserve">: poprawa warunków organizacyjnych pracy w przedszkolach (mniejsze oddziały), co może sprzyjać stabilności zatrudnienia oraz ograniczeniu presji na redukcję etatów w warunkach niżu demograficznego.</w:t>
              <w:br w:type="textWrapping"/>
            </w:r>
          </w:p>
          <w:p w:rsidR="00000000" w:rsidDel="00000000" w:rsidP="00000000" w:rsidRDefault="00000000" w:rsidRPr="00000000" w14:paraId="0000007D">
            <w:pPr>
              <w:widowControl w:val="1"/>
              <w:numPr>
                <w:ilvl w:val="0"/>
                <w:numId w:val="20"/>
              </w:numPr>
              <w:spacing w:after="0" w:afterAutospacing="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Aktywność zawodowa rodziców</w:t>
            </w:r>
            <w:r w:rsidDel="00000000" w:rsidR="00000000" w:rsidRPr="00000000">
              <w:rPr>
                <w:rFonts w:ascii="Arial" w:cs="Arial" w:eastAsia="Arial" w:hAnsi="Arial"/>
                <w:sz w:val="20"/>
                <w:szCs w:val="20"/>
                <w:rtl w:val="0"/>
              </w:rPr>
              <w:t xml:space="preserve">: stabilniejsza sieć przedszkoli oraz mniejsze ryzyko likwidacji oddziałów może sprzyjać utrzymaniu dostępności opieki przedszkolnej, co pośrednio wspiera aktywność zawodową rodziców, w szczególności kobiet.</w:t>
              <w:br w:type="textWrapping"/>
            </w:r>
          </w:p>
          <w:p w:rsidR="00000000" w:rsidDel="00000000" w:rsidP="00000000" w:rsidRDefault="00000000" w:rsidRPr="00000000" w14:paraId="0000007E">
            <w:pPr>
              <w:widowControl w:val="1"/>
              <w:numPr>
                <w:ilvl w:val="0"/>
                <w:numId w:val="20"/>
              </w:numPr>
              <w:spacing w:after="24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Podmioty niepubliczne (MŚP)</w:t>
            </w:r>
            <w:r w:rsidDel="00000000" w:rsidR="00000000" w:rsidRPr="00000000">
              <w:rPr>
                <w:rFonts w:ascii="Arial" w:cs="Arial" w:eastAsia="Arial" w:hAnsi="Arial"/>
                <w:sz w:val="20"/>
                <w:szCs w:val="20"/>
                <w:rtl w:val="0"/>
              </w:rPr>
              <w:t xml:space="preserve">: projekt nie wprowadza nowych obowiązków administracyjnych ani barier regulacyjnych. Zmiana zasad finansowania może poprawić przewidywalność warunków prowadzenia działalności w obszarze wychowania przedszkolnego.</w:t>
            </w:r>
          </w:p>
          <w:p w:rsidR="00000000" w:rsidDel="00000000" w:rsidP="00000000" w:rsidRDefault="00000000" w:rsidRPr="00000000" w14:paraId="0000007F">
            <w:pPr>
              <w:widowControl w:val="1"/>
              <w:spacing w:after="240" w:befor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Skutki pozytywne i negatywne w ujęciu kwotowym</w:t>
            </w:r>
          </w:p>
          <w:p w:rsidR="00000000" w:rsidDel="00000000" w:rsidP="00000000" w:rsidRDefault="00000000" w:rsidRPr="00000000" w14:paraId="00000080">
            <w:pPr>
              <w:widowControl w:val="1"/>
              <w:spacing w:after="240" w:before="240" w:lineRule="auto"/>
              <w:ind w:left="0"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Pozytywne skutki gospodarcze</w:t>
            </w:r>
            <w:r w:rsidDel="00000000" w:rsidR="00000000" w:rsidRPr="00000000">
              <w:rPr>
                <w:rFonts w:ascii="Arial" w:cs="Arial" w:eastAsia="Arial" w:hAnsi="Arial"/>
                <w:sz w:val="20"/>
                <w:szCs w:val="20"/>
                <w:rtl w:val="0"/>
              </w:rPr>
              <w:t xml:space="preserve">: pośrednie i długookresowe, związane ze stabilnością rynku pracy w sektorze edukacji przedszkolnej oraz wsparciem aktywności zawodowej rodziców. Nie są możliwe do wiarygodnego oszacowania kwotowego na etapie projektowania regulacji.</w:t>
            </w:r>
          </w:p>
          <w:p w:rsidR="00000000" w:rsidDel="00000000" w:rsidP="00000000" w:rsidRDefault="00000000" w:rsidRPr="00000000" w14:paraId="00000081">
            <w:pPr>
              <w:widowControl w:val="1"/>
              <w:spacing w:after="240" w:before="240" w:lineRule="auto"/>
              <w:ind w:left="0"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Negatywne skutki gospodarcze</w:t>
            </w:r>
            <w:r w:rsidDel="00000000" w:rsidR="00000000" w:rsidRPr="00000000">
              <w:rPr>
                <w:rFonts w:ascii="Arial" w:cs="Arial" w:eastAsia="Arial" w:hAnsi="Arial"/>
                <w:sz w:val="20"/>
                <w:szCs w:val="20"/>
                <w:rtl w:val="0"/>
              </w:rPr>
              <w:t xml:space="preserve">: ewentualne krótkookresowe koszty dostosowawcze po stronie jednostek samorządu terytorialnego i podmiotów prowadzących przedszkola. Ograniczone poprzez zróżnicowane terminy wejścia w życie regulacji.</w:t>
            </w:r>
          </w:p>
          <w:p w:rsidR="00000000" w:rsidDel="00000000" w:rsidP="00000000" w:rsidRDefault="00000000" w:rsidRPr="00000000" w14:paraId="00000082">
            <w:pPr>
              <w:widowControl w:val="1"/>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Projekt nie przewiduje bezpośredniego wpływu na poziom inflacji, inwestycje prywatne, innowacyjność ani konkurencyjność gospodarki. </w:t>
            </w:r>
          </w:p>
          <w:p w:rsidR="00000000" w:rsidDel="00000000" w:rsidP="00000000" w:rsidRDefault="00000000" w:rsidRPr="00000000" w14:paraId="00000083">
            <w:pPr>
              <w:widowControl w:val="1"/>
              <w:spacing w:after="240" w:befor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Źródła danych, metodyka i założenia</w:t>
            </w:r>
          </w:p>
          <w:p w:rsidR="00000000" w:rsidDel="00000000" w:rsidP="00000000" w:rsidRDefault="00000000" w:rsidRPr="00000000" w14:paraId="00000084">
            <w:pPr>
              <w:widowControl w:val="1"/>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Ocena skutków gospodarczych opiera się na danych GUS dotyczących liczby dzieci i oddziałów przedszkolnych oraz na analizie jakościowej wpływu regulacji na rynek pracy i działalność gospodarczą.</w:t>
            </w:r>
          </w:p>
          <w:p w:rsidR="00000000" w:rsidDel="00000000" w:rsidP="00000000" w:rsidRDefault="00000000" w:rsidRPr="00000000" w14:paraId="00000085">
            <w:pPr>
              <w:widowControl w:val="1"/>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Projekt nie wprowadza nowych obciążeń regulacyjnych dla przedsiębiorców, w tym mikro-, małych i średnich przedsiębiorstw, a jego wpływ gospodarczy ma charakter pośredni i długoterminowy.</w:t>
            </w:r>
          </w:p>
        </w:tc>
      </w:tr>
    </w:tbl>
    <w:p w:rsidR="00000000" w:rsidDel="00000000" w:rsidP="00000000" w:rsidRDefault="00000000" w:rsidRPr="00000000" w14:paraId="00000086">
      <w:pPr>
        <w:widowControl w:val="1"/>
        <w:spacing w:after="160" w:line="259"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7">
      <w:pPr>
        <w:widowControl w:val="1"/>
        <w:spacing w:after="160" w:line="259" w:lineRule="auto"/>
        <w:jc w:val="both"/>
        <w:rPr>
          <w:rFonts w:ascii="Arial" w:cs="Arial" w:eastAsia="Arial" w:hAnsi="Arial"/>
        </w:rPr>
      </w:pPr>
      <w:r w:rsidDel="00000000" w:rsidR="00000000" w:rsidRPr="00000000">
        <w:rPr>
          <w:rFonts w:ascii="Arial" w:cs="Arial" w:eastAsia="Arial" w:hAnsi="Arial"/>
          <w:rtl w:val="0"/>
        </w:rPr>
        <w:t xml:space="preserve">[6] Jakie są przewidywane skutki finansowe projektowanych rozwiązań, w szczególności wpływ na sektor finansów publicznych, w tym na budżet państwa i budżety jednostek samorządu terytorialnego?</w:t>
      </w:r>
    </w:p>
    <w:tbl>
      <w:tblPr>
        <w:tblStyle w:val="Table8"/>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0"/>
        <w:tblGridChange w:id="0">
          <w:tblGrid>
            <w:gridCol w:w="9060"/>
          </w:tblGrid>
        </w:tblGridChange>
      </w:tblGrid>
      <w:tr>
        <w:trPr>
          <w:cantSplit w:val="0"/>
          <w:tblHeader w:val="0"/>
        </w:trPr>
        <w:tc>
          <w:tcPr/>
          <w:p w:rsidR="00000000" w:rsidDel="00000000" w:rsidP="00000000" w:rsidRDefault="00000000" w:rsidRPr="00000000" w14:paraId="00000088">
            <w:pPr>
              <w:widowControl w:val="1"/>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Podmioty, na które wpływa projekt</w:t>
            </w:r>
          </w:p>
          <w:p w:rsidR="00000000" w:rsidDel="00000000" w:rsidP="00000000" w:rsidRDefault="00000000" w:rsidRPr="00000000" w14:paraId="00000089">
            <w:pPr>
              <w:widowControl w:val="1"/>
              <w:numPr>
                <w:ilvl w:val="0"/>
                <w:numId w:val="2"/>
              </w:numPr>
              <w:spacing w:after="0" w:afterAutospacing="0" w:before="240" w:lineRule="auto"/>
              <w:ind w:left="72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Budżet państwa</w:t>
            </w:r>
            <w:r w:rsidDel="00000000" w:rsidR="00000000" w:rsidRPr="00000000">
              <w:rPr>
                <w:rFonts w:ascii="Arial" w:cs="Arial" w:eastAsia="Arial" w:hAnsi="Arial"/>
                <w:sz w:val="20"/>
                <w:szCs w:val="20"/>
                <w:rtl w:val="0"/>
              </w:rPr>
              <w:t xml:space="preserve"> – poprzez konieczność dostosowania łącznej kwoty potrzeb oświatowych.</w:t>
              <w:br w:type="textWrapping"/>
            </w:r>
          </w:p>
          <w:p w:rsidR="00000000" w:rsidDel="00000000" w:rsidP="00000000" w:rsidRDefault="00000000" w:rsidRPr="00000000" w14:paraId="0000008A">
            <w:pPr>
              <w:widowControl w:val="1"/>
              <w:numPr>
                <w:ilvl w:val="0"/>
                <w:numId w:val="2"/>
              </w:numPr>
              <w:spacing w:after="24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Budżety jednostek samorządu terytorialnego</w:t>
            </w:r>
            <w:r w:rsidDel="00000000" w:rsidR="00000000" w:rsidRPr="00000000">
              <w:rPr>
                <w:rFonts w:ascii="Arial" w:cs="Arial" w:eastAsia="Arial" w:hAnsi="Arial"/>
                <w:sz w:val="20"/>
                <w:szCs w:val="20"/>
                <w:rtl w:val="0"/>
              </w:rPr>
              <w:t xml:space="preserve"> – jako podmiotów realizujących zadania z zakresu wychowania przedszkolnego.</w:t>
            </w:r>
          </w:p>
          <w:p w:rsidR="00000000" w:rsidDel="00000000" w:rsidP="00000000" w:rsidRDefault="00000000" w:rsidRPr="00000000" w14:paraId="0000008B">
            <w:pPr>
              <w:widowControl w:val="1"/>
              <w:spacing w:after="240" w:befor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Liczebność podmiotów</w:t>
            </w:r>
          </w:p>
          <w:p w:rsidR="00000000" w:rsidDel="00000000" w:rsidP="00000000" w:rsidRDefault="00000000" w:rsidRPr="00000000" w14:paraId="0000008C">
            <w:pPr>
              <w:widowControl w:val="1"/>
              <w:spacing w:after="240" w:befor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Projekt dotyczy </w:t>
            </w:r>
            <w:r w:rsidDel="00000000" w:rsidR="00000000" w:rsidRPr="00000000">
              <w:rPr>
                <w:rFonts w:ascii="Arial" w:cs="Arial" w:eastAsia="Arial" w:hAnsi="Arial"/>
                <w:sz w:val="20"/>
                <w:szCs w:val="20"/>
                <w:rtl w:val="0"/>
              </w:rPr>
              <w:t xml:space="preserve">wszystkich jednostek samorządu terytorialnego realizujących zadania z zakresu wychowania przedszkolnego.</w:t>
            </w:r>
            <w:r w:rsidDel="00000000" w:rsidR="00000000" w:rsidRPr="00000000">
              <w:rPr>
                <w:rtl w:val="0"/>
              </w:rPr>
            </w:r>
          </w:p>
          <w:p w:rsidR="00000000" w:rsidDel="00000000" w:rsidP="00000000" w:rsidRDefault="00000000" w:rsidRPr="00000000" w14:paraId="0000008D">
            <w:pPr>
              <w:widowControl w:val="1"/>
              <w:spacing w:after="240" w:befor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Wpływ projektu w ujęciu niepieniężnym</w:t>
            </w:r>
          </w:p>
          <w:p w:rsidR="00000000" w:rsidDel="00000000" w:rsidP="00000000" w:rsidRDefault="00000000" w:rsidRPr="00000000" w14:paraId="0000008E">
            <w:pPr>
              <w:widowControl w:val="1"/>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Projekt wprowadza mechanizmy umożliwiające </w:t>
            </w:r>
            <w:r w:rsidDel="00000000" w:rsidR="00000000" w:rsidRPr="00000000">
              <w:rPr>
                <w:rFonts w:ascii="Arial" w:cs="Arial" w:eastAsia="Arial" w:hAnsi="Arial"/>
                <w:sz w:val="20"/>
                <w:szCs w:val="20"/>
                <w:rtl w:val="0"/>
              </w:rPr>
              <w:t xml:space="preserve">utrzymanie liczby oddziałów przedszkolnych</w:t>
            </w:r>
            <w:r w:rsidDel="00000000" w:rsidR="00000000" w:rsidRPr="00000000">
              <w:rPr>
                <w:rFonts w:ascii="Arial" w:cs="Arial" w:eastAsia="Arial" w:hAnsi="Arial"/>
                <w:sz w:val="20"/>
                <w:szCs w:val="20"/>
                <w:rtl w:val="0"/>
              </w:rPr>
              <w:t xml:space="preserve"> pomimo spadku liczby dzieci, co ogranicza presję na ich likwidację oraz stabilizuje strukturę wydatków bieżących jednostek samorządu terytorialnego. </w:t>
            </w:r>
          </w:p>
          <w:p w:rsidR="00000000" w:rsidDel="00000000" w:rsidP="00000000" w:rsidRDefault="00000000" w:rsidRPr="00000000" w14:paraId="0000008F">
            <w:pPr>
              <w:widowControl w:val="1"/>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Zróżnicowane terminy wejścia w życie regulacji umożliwiają jednostkom samorządu terytorialnego stopniowe dostosowanie organizacyjne i finansowe.</w:t>
            </w:r>
          </w:p>
          <w:p w:rsidR="00000000" w:rsidDel="00000000" w:rsidP="00000000" w:rsidRDefault="00000000" w:rsidRPr="00000000" w14:paraId="00000090">
            <w:pPr>
              <w:widowControl w:val="1"/>
              <w:spacing w:after="240" w:befor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Wpływ kwotowy na sektor finansów publicznych</w:t>
            </w:r>
          </w:p>
          <w:p w:rsidR="00000000" w:rsidDel="00000000" w:rsidP="00000000" w:rsidRDefault="00000000" w:rsidRPr="00000000" w14:paraId="00000091">
            <w:pPr>
              <w:widowControl w:val="1"/>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Projektowane rozwiązania zakładają:</w:t>
            </w:r>
          </w:p>
          <w:p w:rsidR="00000000" w:rsidDel="00000000" w:rsidP="00000000" w:rsidRDefault="00000000" w:rsidRPr="00000000" w14:paraId="00000092">
            <w:pPr>
              <w:widowControl w:val="1"/>
              <w:numPr>
                <w:ilvl w:val="0"/>
                <w:numId w:val="8"/>
              </w:numPr>
              <w:spacing w:after="0" w:afterAutospacing="0" w:befor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redystrybucję środków w ramach łącznej kwoty potrzeb oświatowych poprzez zobowiązanie ministra do zmiany algorytmu jej podziału (premiowanie oddziałów o mniejszej liczbie dzieci),</w:t>
            </w:r>
          </w:p>
          <w:p w:rsidR="00000000" w:rsidDel="00000000" w:rsidP="00000000" w:rsidRDefault="00000000" w:rsidRPr="00000000" w14:paraId="00000093">
            <w:pPr>
              <w:widowControl w:val="1"/>
              <w:numPr>
                <w:ilvl w:val="0"/>
                <w:numId w:val="8"/>
              </w:numPr>
              <w:spacing w:after="24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brak automatycznego, ustawowego zwiększenia łącznej kwoty potrzeb oświatowych.</w:t>
            </w:r>
          </w:p>
          <w:p w:rsidR="00000000" w:rsidDel="00000000" w:rsidP="00000000" w:rsidRDefault="00000000" w:rsidRPr="00000000" w14:paraId="00000094">
            <w:pPr>
              <w:widowControl w:val="1"/>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Jednocześnie należy wskazać, że </w:t>
            </w:r>
            <w:r w:rsidDel="00000000" w:rsidR="00000000" w:rsidRPr="00000000">
              <w:rPr>
                <w:rFonts w:ascii="Arial" w:cs="Arial" w:eastAsia="Arial" w:hAnsi="Arial"/>
                <w:sz w:val="20"/>
                <w:szCs w:val="20"/>
                <w:rtl w:val="0"/>
              </w:rPr>
              <w:t xml:space="preserve">konieczny może być jest umiarkowany wzrost wydatków na wychowanie przedszkolne, wynikający</w:t>
            </w:r>
            <w:r w:rsidDel="00000000" w:rsidR="00000000" w:rsidRPr="00000000">
              <w:rPr>
                <w:rFonts w:ascii="Arial" w:cs="Arial" w:eastAsia="Arial" w:hAnsi="Arial"/>
                <w:sz w:val="20"/>
                <w:szCs w:val="20"/>
                <w:rtl w:val="0"/>
              </w:rPr>
              <w:t xml:space="preserve"> z utrzymania większej liczby oddziałów przy niższej liczbie dzieci oraz kosztów osobowych związanych z zapewnieniem odpowiednich warunków pracy nauczycieli.</w:t>
            </w:r>
          </w:p>
          <w:p w:rsidR="00000000" w:rsidDel="00000000" w:rsidP="00000000" w:rsidRDefault="00000000" w:rsidRPr="00000000" w14:paraId="00000095">
            <w:pPr>
              <w:widowControl w:val="1"/>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Wysokość tego wzrostu będzie zależna od skali niezbędnych dostosowań organizacyjnych w poszczególnych jednostek samorządu terytorialnego oraz decyzji podejmowanych corocznie w ustawie budżetowej w zakresie łącznej kwoty potrzeb oświatowych.</w:t>
            </w:r>
          </w:p>
          <w:p w:rsidR="00000000" w:rsidDel="00000000" w:rsidP="00000000" w:rsidRDefault="00000000" w:rsidRPr="00000000" w14:paraId="00000096">
            <w:pPr>
              <w:widowControl w:val="1"/>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 etapie projektowania regulacji </w:t>
            </w:r>
            <w:r w:rsidDel="00000000" w:rsidR="00000000" w:rsidRPr="00000000">
              <w:rPr>
                <w:rFonts w:ascii="Arial" w:cs="Arial" w:eastAsia="Arial" w:hAnsi="Arial"/>
                <w:sz w:val="20"/>
                <w:szCs w:val="20"/>
                <w:rtl w:val="0"/>
              </w:rPr>
              <w:t xml:space="preserve">nie jest możliwe precyzyjne oszacowanie kwotowe</w:t>
            </w:r>
            <w:r w:rsidDel="00000000" w:rsidR="00000000" w:rsidRPr="00000000">
              <w:rPr>
                <w:rFonts w:ascii="Arial" w:cs="Arial" w:eastAsia="Arial" w:hAnsi="Arial"/>
                <w:sz w:val="20"/>
                <w:szCs w:val="20"/>
                <w:rtl w:val="0"/>
              </w:rPr>
              <w:t xml:space="preserve"> skutków w mln zł bez danych dotyczących przyszłych decyzji organizacyjnych jednostek samorządu terytorialnego oraz parametrów algorytmu określanych w rozporządzeniu.</w:t>
            </w:r>
          </w:p>
        </w:tc>
      </w:tr>
    </w:tbl>
    <w:p w:rsidR="00000000" w:rsidDel="00000000" w:rsidP="00000000" w:rsidRDefault="00000000" w:rsidRPr="00000000" w14:paraId="00000097">
      <w:pPr>
        <w:widowControl w:val="1"/>
        <w:spacing w:after="160" w:line="259" w:lineRule="auto"/>
        <w:jc w:val="both"/>
        <w:rPr>
          <w:rFonts w:ascii="Arial" w:cs="Arial" w:eastAsia="Arial" w:hAnsi="Arial"/>
        </w:rPr>
      </w:pPr>
      <w:r w:rsidDel="00000000" w:rsidR="00000000" w:rsidRPr="00000000">
        <w:rPr>
          <w:rFonts w:ascii="Arial" w:cs="Arial" w:eastAsia="Arial" w:hAnsi="Arial"/>
          <w:rtl w:val="0"/>
        </w:rPr>
        <w:t xml:space="preserve">[7] Wykaz źródeł finansowania, jeśli projekt ustawy pociąga za sobą obciążenie budżetu państwa lub budżetów jednostek samorządu terytorialnego.</w:t>
      </w:r>
    </w:p>
    <w:tbl>
      <w:tblPr>
        <w:tblStyle w:val="Table9"/>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0"/>
        <w:tblGridChange w:id="0">
          <w:tblGrid>
            <w:gridCol w:w="9060"/>
          </w:tblGrid>
        </w:tblGridChange>
      </w:tblGrid>
      <w:tr>
        <w:trPr>
          <w:cantSplit w:val="0"/>
          <w:tblHeader w:val="0"/>
        </w:trPr>
        <w:tc>
          <w:tcPr/>
          <w:p w:rsidR="00000000" w:rsidDel="00000000" w:rsidP="00000000" w:rsidRDefault="00000000" w:rsidRPr="00000000" w14:paraId="00000098">
            <w:pPr>
              <w:widowControl w:val="1"/>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Projekt ustawy </w:t>
            </w:r>
            <w:r w:rsidDel="00000000" w:rsidR="00000000" w:rsidRPr="00000000">
              <w:rPr>
                <w:rFonts w:ascii="Arial" w:cs="Arial" w:eastAsia="Arial" w:hAnsi="Arial"/>
                <w:sz w:val="20"/>
                <w:szCs w:val="20"/>
                <w:rtl w:val="0"/>
              </w:rPr>
              <w:t xml:space="preserve">nie przewiduje obligatoryjnego zwiększenia wydatków budżetu państwa ani budżetów jednostek samorządu terytorialnego</w:t>
            </w:r>
            <w:r w:rsidDel="00000000" w:rsidR="00000000" w:rsidRPr="00000000">
              <w:rPr>
                <w:rFonts w:ascii="Arial" w:cs="Arial" w:eastAsia="Arial" w:hAnsi="Arial"/>
                <w:sz w:val="20"/>
                <w:szCs w:val="20"/>
                <w:rtl w:val="0"/>
              </w:rPr>
              <w:t xml:space="preserve"> w porównaniu do aktualnie obowiązujących wielkości. Projektowane rozwiązania zakładają zmianę zasad podziału łącznej kwoty potrzeb oświatowych, bez wprowadzania ustawowego obowiązku zwiększenia tej kwoty.</w:t>
            </w:r>
          </w:p>
          <w:p w:rsidR="00000000" w:rsidDel="00000000" w:rsidP="00000000" w:rsidRDefault="00000000" w:rsidRPr="00000000" w14:paraId="00000099">
            <w:pPr>
              <w:widowControl w:val="1"/>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Ewentualne zwiększenie wydatków na wychowanie przedszkolne w kolejnych latach będzie przedmiotem corocznych decyzji budżetowych i zostanie sfinansowane w ramach środków przewidzianych na realizację zadań oświatowych w ustawie budżetowej.</w:t>
            </w:r>
          </w:p>
          <w:p w:rsidR="00000000" w:rsidDel="00000000" w:rsidP="00000000" w:rsidRDefault="00000000" w:rsidRPr="00000000" w14:paraId="0000009A">
            <w:pPr>
              <w:widowControl w:val="1"/>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Źródłem finansowania skutków projektu pozostaje łączna kwota potrzeb oświatowych, ustalana corocznie w ustawie budżetowej, w ramach środków przeznaczonych na finansowanie zadań oświatowych jednostek samorządu terytorialnego.</w:t>
            </w:r>
          </w:p>
          <w:p w:rsidR="00000000" w:rsidDel="00000000" w:rsidP="00000000" w:rsidRDefault="00000000" w:rsidRPr="00000000" w14:paraId="0000009B">
            <w:pPr>
              <w:widowControl w:val="1"/>
              <w:spacing w:after="240" w:before="240" w:lineRule="auto"/>
              <w:jc w:val="both"/>
              <w:rPr>
                <w:rFonts w:ascii="Arial" w:cs="Arial" w:eastAsia="Arial" w:hAnsi="Arial"/>
              </w:rPr>
            </w:pPr>
            <w:r w:rsidDel="00000000" w:rsidR="00000000" w:rsidRPr="00000000">
              <w:rPr>
                <w:rFonts w:ascii="Arial" w:cs="Arial" w:eastAsia="Arial" w:hAnsi="Arial"/>
                <w:sz w:val="20"/>
                <w:szCs w:val="20"/>
                <w:rtl w:val="0"/>
              </w:rPr>
              <w:t xml:space="preserve">Szczegółowe skutki finansowe będą zależne od parametrów algorytmu określonych w aktach wykonawczych oraz od decyzji podejmowanych w ramach corocznej procedury budżetowej.</w:t>
            </w:r>
            <w:r w:rsidDel="00000000" w:rsidR="00000000" w:rsidRPr="00000000">
              <w:rPr>
                <w:rtl w:val="0"/>
              </w:rPr>
            </w:r>
          </w:p>
        </w:tc>
      </w:tr>
    </w:tbl>
    <w:p w:rsidR="00000000" w:rsidDel="00000000" w:rsidP="00000000" w:rsidRDefault="00000000" w:rsidRPr="00000000" w14:paraId="0000009C">
      <w:pPr>
        <w:widowControl w:val="1"/>
        <w:spacing w:after="160" w:line="259"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D">
      <w:pPr>
        <w:widowControl w:val="1"/>
        <w:spacing w:after="160" w:line="259" w:lineRule="auto"/>
        <w:jc w:val="both"/>
        <w:rPr>
          <w:rFonts w:ascii="Arial" w:cs="Arial" w:eastAsia="Arial" w:hAnsi="Arial"/>
        </w:rPr>
      </w:pPr>
      <w:r w:rsidDel="00000000" w:rsidR="00000000" w:rsidRPr="00000000">
        <w:rPr>
          <w:rFonts w:ascii="Arial" w:cs="Arial" w:eastAsia="Arial" w:hAnsi="Arial"/>
          <w:rtl w:val="0"/>
        </w:rPr>
        <w:t xml:space="preserve">[8] Czy projekt ustawy podlega procedurze notyfikacyjnej? </w:t>
      </w:r>
    </w:p>
    <w:p w:rsidR="00000000" w:rsidDel="00000000" w:rsidP="00000000" w:rsidRDefault="00000000" w:rsidRPr="00000000" w14:paraId="0000009E">
      <w:pPr>
        <w:widowControl w:val="1"/>
        <w:numPr>
          <w:ilvl w:val="0"/>
          <w:numId w:val="14"/>
        </w:numPr>
        <w:spacing w:after="160" w:line="240" w:lineRule="auto"/>
        <w:ind w:left="720" w:hanging="360"/>
        <w:jc w:val="both"/>
        <w:rPr>
          <w:rFonts w:ascii="Noto Sans Symbols" w:cs="Noto Sans Symbols" w:eastAsia="Noto Sans Symbols" w:hAnsi="Noto Sans Symbols"/>
        </w:rPr>
      </w:pPr>
      <w:r w:rsidDel="00000000" w:rsidR="00000000" w:rsidRPr="00000000">
        <w:rPr>
          <w:rFonts w:ascii="Arial" w:cs="Arial" w:eastAsia="Arial" w:hAnsi="Arial"/>
          <w:rtl w:val="0"/>
        </w:rPr>
        <w:t xml:space="preserve">Nie </w:t>
      </w:r>
    </w:p>
    <w:p w:rsidR="00000000" w:rsidDel="00000000" w:rsidP="00000000" w:rsidRDefault="00000000" w:rsidRPr="00000000" w14:paraId="0000009F">
      <w:pPr>
        <w:widowControl w:val="1"/>
        <w:spacing w:after="160" w:line="240" w:lineRule="auto"/>
        <w:ind w:left="360" w:firstLine="0"/>
        <w:jc w:val="both"/>
        <w:rPr>
          <w:rFonts w:ascii="Arial" w:cs="Arial" w:eastAsia="Arial" w:hAnsi="Arial"/>
        </w:rPr>
      </w:pPr>
      <w:r w:rsidDel="00000000" w:rsidR="00000000" w:rsidRPr="00000000">
        <w:rPr>
          <w:rFonts w:ascii="Arial" w:cs="Arial" w:eastAsia="Arial" w:hAnsi="Arial"/>
          <w:rtl w:val="0"/>
        </w:rPr>
        <w:t xml:space="preserve">Tak, ponieważ:</w:t>
      </w:r>
    </w:p>
    <w:p w:rsidR="00000000" w:rsidDel="00000000" w:rsidP="00000000" w:rsidRDefault="00000000" w:rsidRPr="00000000" w14:paraId="000000A0">
      <w:pPr>
        <w:widowControl w:val="1"/>
        <w:numPr>
          <w:ilvl w:val="0"/>
          <w:numId w:val="15"/>
        </w:numPr>
        <w:spacing w:line="240" w:lineRule="auto"/>
        <w:ind w:left="720" w:hanging="360"/>
        <w:jc w:val="both"/>
        <w:rPr>
          <w:rFonts w:ascii="Noto Sans Symbols" w:cs="Noto Sans Symbols" w:eastAsia="Noto Sans Symbols" w:hAnsi="Noto Sans Symbols"/>
        </w:rPr>
      </w:pPr>
      <w:r w:rsidDel="00000000" w:rsidR="00000000" w:rsidRPr="00000000">
        <w:rPr>
          <w:rFonts w:ascii="Arial" w:cs="Arial" w:eastAsia="Arial" w:hAnsi="Arial"/>
          <w:rtl w:val="0"/>
        </w:rPr>
        <w:t xml:space="preserve">określa plan przyznania lub zmiany pomocy państwa (art. 108 ust. 3 Traktatu o funkcjonowaniu Unii Europejskiej);</w:t>
      </w:r>
    </w:p>
    <w:p w:rsidR="00000000" w:rsidDel="00000000" w:rsidP="00000000" w:rsidRDefault="00000000" w:rsidRPr="00000000" w14:paraId="000000A1">
      <w:pPr>
        <w:widowControl w:val="1"/>
        <w:numPr>
          <w:ilvl w:val="0"/>
          <w:numId w:val="10"/>
        </w:numPr>
        <w:spacing w:line="240" w:lineRule="auto"/>
        <w:ind w:left="720" w:hanging="360"/>
        <w:jc w:val="both"/>
        <w:rPr>
          <w:rFonts w:ascii="Noto Sans Symbols" w:cs="Noto Sans Symbols" w:eastAsia="Noto Sans Symbols" w:hAnsi="Noto Sans Symbols"/>
        </w:rPr>
      </w:pPr>
      <w:r w:rsidDel="00000000" w:rsidR="00000000" w:rsidRPr="00000000">
        <w:rPr>
          <w:rFonts w:ascii="Arial" w:cs="Arial" w:eastAsia="Arial" w:hAnsi="Arial"/>
          <w:rtl w:val="0"/>
        </w:rPr>
        <w:t xml:space="preserve">zawiera przepisy techniczne (dyrektywa (UE) 1535/2015);</w:t>
      </w:r>
    </w:p>
    <w:p w:rsidR="00000000" w:rsidDel="00000000" w:rsidP="00000000" w:rsidRDefault="00000000" w:rsidRPr="00000000" w14:paraId="000000A2">
      <w:pPr>
        <w:widowControl w:val="1"/>
        <w:numPr>
          <w:ilvl w:val="0"/>
          <w:numId w:val="10"/>
        </w:numPr>
        <w:spacing w:line="240" w:lineRule="auto"/>
        <w:ind w:left="720" w:hanging="360"/>
        <w:jc w:val="both"/>
        <w:rPr>
          <w:rFonts w:ascii="Noto Sans Symbols" w:cs="Noto Sans Symbols" w:eastAsia="Noto Sans Symbols" w:hAnsi="Noto Sans Symbols"/>
        </w:rPr>
      </w:pPr>
      <w:r w:rsidDel="00000000" w:rsidR="00000000" w:rsidRPr="00000000">
        <w:rPr>
          <w:rFonts w:ascii="Arial" w:cs="Arial" w:eastAsia="Arial" w:hAnsi="Arial"/>
          <w:rtl w:val="0"/>
        </w:rPr>
        <w:t xml:space="preserve">dotyczy dziedziny podlegającej kompetencji Europejskiego Banku Centralnego (art. 127 ust. 4 tiret drugie TfUE);</w:t>
      </w:r>
    </w:p>
    <w:p w:rsidR="00000000" w:rsidDel="00000000" w:rsidP="00000000" w:rsidRDefault="00000000" w:rsidRPr="00000000" w14:paraId="000000A3">
      <w:pPr>
        <w:widowControl w:val="1"/>
        <w:numPr>
          <w:ilvl w:val="0"/>
          <w:numId w:val="10"/>
        </w:numPr>
        <w:spacing w:line="240" w:lineRule="auto"/>
        <w:ind w:left="720" w:hanging="360"/>
        <w:jc w:val="both"/>
        <w:rPr>
          <w:rFonts w:ascii="Noto Sans Symbols" w:cs="Noto Sans Symbols" w:eastAsia="Noto Sans Symbols" w:hAnsi="Noto Sans Symbols"/>
        </w:rPr>
      </w:pPr>
      <w:r w:rsidDel="00000000" w:rsidR="00000000" w:rsidRPr="00000000">
        <w:rPr>
          <w:rFonts w:ascii="Arial" w:cs="Arial" w:eastAsia="Arial" w:hAnsi="Arial"/>
          <w:rtl w:val="0"/>
        </w:rPr>
        <w:t xml:space="preserve">ma zastosowanie do usług świadczonych przez usługodawców (dyrektywa 2006/123/WE);</w:t>
      </w:r>
    </w:p>
    <w:p w:rsidR="00000000" w:rsidDel="00000000" w:rsidP="00000000" w:rsidRDefault="00000000" w:rsidRPr="00000000" w14:paraId="000000A4">
      <w:pPr>
        <w:widowControl w:val="1"/>
        <w:numPr>
          <w:ilvl w:val="0"/>
          <w:numId w:val="10"/>
        </w:numPr>
        <w:spacing w:line="240" w:lineRule="auto"/>
        <w:ind w:left="720" w:hanging="360"/>
        <w:jc w:val="both"/>
        <w:rPr>
          <w:rFonts w:ascii="Noto Sans Symbols" w:cs="Noto Sans Symbols" w:eastAsia="Noto Sans Symbols" w:hAnsi="Noto Sans Symbols"/>
        </w:rPr>
      </w:pPr>
      <w:r w:rsidDel="00000000" w:rsidR="00000000" w:rsidRPr="00000000">
        <w:rPr>
          <w:rFonts w:ascii="Arial" w:cs="Arial" w:eastAsia="Arial" w:hAnsi="Arial"/>
          <w:rtl w:val="0"/>
        </w:rPr>
        <w:t xml:space="preserve">dotyczy innych niż wymienione wyżej dziedzin objętych procedurą notyfikacyjną.</w:t>
      </w:r>
    </w:p>
    <w:p w:rsidR="00000000" w:rsidDel="00000000" w:rsidP="00000000" w:rsidRDefault="00000000" w:rsidRPr="00000000" w14:paraId="000000A5">
      <w:pPr>
        <w:widowControl w:val="1"/>
        <w:spacing w:after="160" w:line="240" w:lineRule="auto"/>
        <w:ind w:left="720" w:firstLine="0"/>
        <w:jc w:val="both"/>
        <w:rPr>
          <w:rFonts w:ascii="Arial" w:cs="Arial" w:eastAsia="Arial" w:hAnsi="Arial"/>
        </w:rPr>
      </w:pPr>
      <w:r w:rsidDel="00000000" w:rsidR="00000000" w:rsidRPr="00000000">
        <w:rPr>
          <w:rtl w:val="0"/>
        </w:rPr>
      </w:r>
    </w:p>
    <w:tbl>
      <w:tblPr>
        <w:tblStyle w:val="Table10"/>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0"/>
        <w:tblGridChange w:id="0">
          <w:tblGrid>
            <w:gridCol w:w="9060"/>
          </w:tblGrid>
        </w:tblGridChange>
      </w:tblGrid>
      <w:tr>
        <w:trPr>
          <w:cantSplit w:val="0"/>
          <w:tblHeader w:val="0"/>
        </w:trPr>
        <w:tc>
          <w:tcPr/>
          <w:p w:rsidR="00000000" w:rsidDel="00000000" w:rsidP="00000000" w:rsidRDefault="00000000" w:rsidRPr="00000000" w14:paraId="000000A6">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Projekt ustawy nie podlega obowiązkowi notyfikacji przewidzianemu przepisami prawa Unii Europejskiej.</w:t>
            </w:r>
          </w:p>
        </w:tc>
      </w:tr>
    </w:tbl>
    <w:p w:rsidR="00000000" w:rsidDel="00000000" w:rsidP="00000000" w:rsidRDefault="00000000" w:rsidRPr="00000000" w14:paraId="000000A7">
      <w:pPr>
        <w:widowControl w:val="1"/>
        <w:spacing w:after="160" w:line="259"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A8">
      <w:pPr>
        <w:widowControl w:val="1"/>
        <w:spacing w:after="160" w:line="259" w:lineRule="auto"/>
        <w:jc w:val="both"/>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A9">
      <w:pPr>
        <w:widowControl w:val="1"/>
        <w:spacing w:after="160" w:line="259" w:lineRule="auto"/>
        <w:jc w:val="both"/>
        <w:rPr>
          <w:rFonts w:ascii="Arial" w:cs="Arial" w:eastAsia="Arial" w:hAnsi="Arial"/>
          <w:b w:val="1"/>
          <w:bCs w:val="1"/>
        </w:rPr>
      </w:pPr>
      <w:bookmarkStart w:colFirst="0" w:colLast="0" w:name="_x9cq448ob3qj" w:id="3"/>
      <w:bookmarkEnd w:id="3"/>
      <w:r w:rsidDel="00000000" w:rsidR="00000000" w:rsidRPr="00000000">
        <w:rPr>
          <w:rFonts w:ascii="Arial" w:cs="Arial" w:eastAsia="Arial" w:hAnsi="Arial"/>
          <w:b w:val="1"/>
          <w:bCs w:val="1"/>
          <w:rtl w:val="0"/>
        </w:rPr>
        <w:t xml:space="preserve">III. Wymogi określone w art. 34 ust. 2a i 2b regulaminu Sejmu</w:t>
      </w:r>
    </w:p>
    <w:p w:rsidR="00000000" w:rsidDel="00000000" w:rsidP="00000000" w:rsidRDefault="00000000" w:rsidRPr="00000000" w14:paraId="000000AA">
      <w:pPr>
        <w:widowControl w:val="1"/>
        <w:spacing w:after="160" w:line="259"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AB">
      <w:pPr>
        <w:widowControl w:val="1"/>
        <w:spacing w:after="160" w:line="259" w:lineRule="auto"/>
        <w:jc w:val="both"/>
        <w:rPr>
          <w:rFonts w:ascii="Arial" w:cs="Arial" w:eastAsia="Arial" w:hAnsi="Arial"/>
        </w:rPr>
      </w:pPr>
      <w:r w:rsidDel="00000000" w:rsidR="00000000" w:rsidRPr="00000000">
        <w:rPr>
          <w:rFonts w:ascii="Arial" w:cs="Arial" w:eastAsia="Arial" w:hAnsi="Arial"/>
          <w:rtl w:val="0"/>
        </w:rPr>
        <w:t xml:space="preserve">[9] Czy projekt ustawy zawiera przepisy określające zasady podejmowania, wykonywania lub zakończenia działalności gospodarczej (art. 34 ust. 2a regulaminu Sejmu)?</w:t>
      </w:r>
    </w:p>
    <w:p w:rsidR="00000000" w:rsidDel="00000000" w:rsidP="00000000" w:rsidRDefault="00000000" w:rsidRPr="00000000" w14:paraId="000000AC">
      <w:pPr>
        <w:widowControl w:val="1"/>
        <w:numPr>
          <w:ilvl w:val="0"/>
          <w:numId w:val="12"/>
        </w:numPr>
        <w:spacing w:line="240" w:lineRule="auto"/>
        <w:ind w:left="720" w:hanging="360"/>
        <w:jc w:val="both"/>
        <w:rPr>
          <w:rFonts w:ascii="Noto Sans Symbols" w:cs="Noto Sans Symbols" w:eastAsia="Noto Sans Symbols" w:hAnsi="Noto Sans Symbols"/>
        </w:rPr>
      </w:pPr>
      <w:r w:rsidDel="00000000" w:rsidR="00000000" w:rsidRPr="00000000">
        <w:rPr>
          <w:rFonts w:ascii="Arial" w:cs="Arial" w:eastAsia="Arial" w:hAnsi="Arial"/>
          <w:rtl w:val="0"/>
        </w:rPr>
        <w:t xml:space="preserve">Nie</w:t>
      </w:r>
    </w:p>
    <w:p w:rsidR="00000000" w:rsidDel="00000000" w:rsidP="00000000" w:rsidRDefault="00000000" w:rsidRPr="00000000" w14:paraId="000000AD">
      <w:pPr>
        <w:widowControl w:val="1"/>
        <w:numPr>
          <w:ilvl w:val="0"/>
          <w:numId w:val="10"/>
        </w:numPr>
        <w:spacing w:after="160" w:line="240" w:lineRule="auto"/>
        <w:ind w:left="720" w:hanging="360"/>
        <w:jc w:val="both"/>
        <w:rPr>
          <w:rFonts w:ascii="Noto Sans Symbols" w:cs="Noto Sans Symbols" w:eastAsia="Noto Sans Symbols" w:hAnsi="Noto Sans Symbols"/>
        </w:rPr>
      </w:pPr>
      <w:r w:rsidDel="00000000" w:rsidR="00000000" w:rsidRPr="00000000">
        <w:rPr>
          <w:rFonts w:ascii="Arial" w:cs="Arial" w:eastAsia="Arial" w:hAnsi="Arial"/>
          <w:rtl w:val="0"/>
        </w:rPr>
        <w:t xml:space="preserve">Tak</w:t>
      </w:r>
    </w:p>
    <w:tbl>
      <w:tblPr>
        <w:tblStyle w:val="Table11"/>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0"/>
        <w:tblGridChange w:id="0">
          <w:tblGrid>
            <w:gridCol w:w="9060"/>
          </w:tblGrid>
        </w:tblGridChange>
      </w:tblGrid>
      <w:tr>
        <w:trPr>
          <w:cantSplit w:val="0"/>
          <w:tblHeader w:val="0"/>
        </w:trPr>
        <w:tc>
          <w:tcPr/>
          <w:p w:rsidR="00000000" w:rsidDel="00000000" w:rsidP="00000000" w:rsidRDefault="00000000" w:rsidRPr="00000000" w14:paraId="000000AE">
            <w:pPr>
              <w:widowControl w:val="1"/>
              <w:jc w:val="both"/>
              <w:rPr>
                <w:rFonts w:ascii="Arial" w:cs="Arial" w:eastAsia="Arial" w:hAnsi="Arial"/>
              </w:rPr>
            </w:pPr>
            <w:r w:rsidDel="00000000" w:rsidR="00000000" w:rsidRPr="00000000">
              <w:rPr>
                <w:rFonts w:ascii="Arial" w:cs="Arial" w:eastAsia="Arial" w:hAnsi="Arial"/>
                <w:sz w:val="20"/>
                <w:szCs w:val="20"/>
                <w:rtl w:val="0"/>
              </w:rPr>
              <w:t xml:space="preserve">Projekt nie zawiera przepisów określających zasady podejmowania, wykonywania lub zakończenia działalności gospodarczej.</w:t>
            </w:r>
            <w:r w:rsidDel="00000000" w:rsidR="00000000" w:rsidRPr="00000000">
              <w:rPr>
                <w:rtl w:val="0"/>
              </w:rPr>
            </w:r>
          </w:p>
        </w:tc>
      </w:tr>
    </w:tbl>
    <w:p w:rsidR="00000000" w:rsidDel="00000000" w:rsidP="00000000" w:rsidRDefault="00000000" w:rsidRPr="00000000" w14:paraId="000000AF">
      <w:pPr>
        <w:widowControl w:val="1"/>
        <w:spacing w:after="16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0">
      <w:pPr>
        <w:widowControl w:val="1"/>
        <w:spacing w:after="160" w:line="259" w:lineRule="auto"/>
        <w:jc w:val="both"/>
        <w:rPr>
          <w:rFonts w:ascii="Arial" w:cs="Arial" w:eastAsia="Arial" w:hAnsi="Arial"/>
        </w:rPr>
      </w:pPr>
      <w:r w:rsidDel="00000000" w:rsidR="00000000" w:rsidRPr="00000000">
        <w:rPr>
          <w:rFonts w:ascii="Arial" w:cs="Arial" w:eastAsia="Arial" w:hAnsi="Arial"/>
          <w:rtl w:val="0"/>
        </w:rPr>
        <w:t xml:space="preserve">[10] Czy wdrożenie projektowanych przepisów spowoduje obciążenia administracyjne mikroprzedsiębiorców, małych i średnich przedsiębiorców (art. 34 ust. 2a regulaminu Sejmu)?</w:t>
      </w:r>
    </w:p>
    <w:p w:rsidR="00000000" w:rsidDel="00000000" w:rsidP="00000000" w:rsidRDefault="00000000" w:rsidRPr="00000000" w14:paraId="000000B1">
      <w:pPr>
        <w:widowControl w:val="1"/>
        <w:numPr>
          <w:ilvl w:val="0"/>
          <w:numId w:val="18"/>
        </w:numPr>
        <w:spacing w:line="240" w:lineRule="auto"/>
        <w:ind w:left="720" w:hanging="360"/>
        <w:jc w:val="both"/>
        <w:rPr>
          <w:rFonts w:ascii="Noto Sans Symbols" w:cs="Noto Sans Symbols" w:eastAsia="Noto Sans Symbols" w:hAnsi="Noto Sans Symbols"/>
        </w:rPr>
      </w:pPr>
      <w:r w:rsidDel="00000000" w:rsidR="00000000" w:rsidRPr="00000000">
        <w:rPr>
          <w:rFonts w:ascii="Arial" w:cs="Arial" w:eastAsia="Arial" w:hAnsi="Arial"/>
          <w:rtl w:val="0"/>
        </w:rPr>
        <w:t xml:space="preserve">Nie</w:t>
      </w:r>
    </w:p>
    <w:p w:rsidR="00000000" w:rsidDel="00000000" w:rsidP="00000000" w:rsidRDefault="00000000" w:rsidRPr="00000000" w14:paraId="000000B2">
      <w:pPr>
        <w:widowControl w:val="1"/>
        <w:numPr>
          <w:ilvl w:val="0"/>
          <w:numId w:val="10"/>
        </w:numPr>
        <w:spacing w:after="160" w:line="240" w:lineRule="auto"/>
        <w:ind w:left="720" w:hanging="360"/>
        <w:jc w:val="both"/>
        <w:rPr>
          <w:rFonts w:ascii="Noto Sans Symbols" w:cs="Noto Sans Symbols" w:eastAsia="Noto Sans Symbols" w:hAnsi="Noto Sans Symbols"/>
        </w:rPr>
      </w:pPr>
      <w:r w:rsidDel="00000000" w:rsidR="00000000" w:rsidRPr="00000000">
        <w:rPr>
          <w:rFonts w:ascii="Arial" w:cs="Arial" w:eastAsia="Arial" w:hAnsi="Arial"/>
          <w:rtl w:val="0"/>
        </w:rPr>
        <w:t xml:space="preserve">Tak</w:t>
      </w:r>
    </w:p>
    <w:tbl>
      <w:tblPr>
        <w:tblStyle w:val="Table12"/>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0"/>
        <w:tblGridChange w:id="0">
          <w:tblGrid>
            <w:gridCol w:w="9060"/>
          </w:tblGrid>
        </w:tblGridChange>
      </w:tblGrid>
      <w:tr>
        <w:trPr>
          <w:cantSplit w:val="0"/>
          <w:tblHeader w:val="0"/>
        </w:trPr>
        <w:tc>
          <w:tcPr/>
          <w:p w:rsidR="00000000" w:rsidDel="00000000" w:rsidP="00000000" w:rsidRDefault="00000000" w:rsidRPr="00000000" w14:paraId="000000B3">
            <w:pPr>
              <w:widowControl w:val="1"/>
              <w:jc w:val="both"/>
              <w:rPr>
                <w:rFonts w:ascii="Arial" w:cs="Arial" w:eastAsia="Arial" w:hAnsi="Arial"/>
              </w:rPr>
            </w:pPr>
            <w:r w:rsidDel="00000000" w:rsidR="00000000" w:rsidRPr="00000000">
              <w:rPr>
                <w:rFonts w:ascii="Arial" w:cs="Arial" w:eastAsia="Arial" w:hAnsi="Arial"/>
                <w:sz w:val="20"/>
                <w:szCs w:val="20"/>
                <w:rtl w:val="0"/>
              </w:rPr>
              <w:t xml:space="preserve">Projekt nie spowoduje obciążenia administracyjne mikroprzedsiębiorców, małych i średnich przedsiębiorców.</w:t>
            </w:r>
            <w:r w:rsidDel="00000000" w:rsidR="00000000" w:rsidRPr="00000000">
              <w:rPr>
                <w:rtl w:val="0"/>
              </w:rPr>
            </w:r>
          </w:p>
        </w:tc>
      </w:tr>
    </w:tbl>
    <w:p w:rsidR="00000000" w:rsidDel="00000000" w:rsidP="00000000" w:rsidRDefault="00000000" w:rsidRPr="00000000" w14:paraId="000000B4">
      <w:pPr>
        <w:widowControl w:val="1"/>
        <w:spacing w:after="16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5">
      <w:pPr>
        <w:widowControl w:val="1"/>
        <w:spacing w:after="160" w:line="259" w:lineRule="auto"/>
        <w:jc w:val="both"/>
        <w:rPr>
          <w:rFonts w:ascii="Arial" w:cs="Arial" w:eastAsia="Arial" w:hAnsi="Arial"/>
        </w:rPr>
      </w:pPr>
      <w:r w:rsidDel="00000000" w:rsidR="00000000" w:rsidRPr="00000000">
        <w:rPr>
          <w:rFonts w:ascii="Arial" w:cs="Arial" w:eastAsia="Arial" w:hAnsi="Arial"/>
          <w:rtl w:val="0"/>
        </w:rPr>
        <w:t xml:space="preserve">[11]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w:t>
      </w:r>
    </w:p>
    <w:p w:rsidR="00000000" w:rsidDel="00000000" w:rsidP="00000000" w:rsidRDefault="00000000" w:rsidRPr="00000000" w14:paraId="000000B6">
      <w:pPr>
        <w:widowControl w:val="1"/>
        <w:numPr>
          <w:ilvl w:val="0"/>
          <w:numId w:val="6"/>
        </w:numPr>
        <w:spacing w:line="259" w:lineRule="auto"/>
        <w:ind w:left="714" w:hanging="357"/>
        <w:jc w:val="both"/>
        <w:rPr>
          <w:rFonts w:ascii="Noto Sans Symbols" w:cs="Noto Sans Symbols" w:eastAsia="Noto Sans Symbols" w:hAnsi="Noto Sans Symbols"/>
        </w:rPr>
      </w:pPr>
      <w:r w:rsidDel="00000000" w:rsidR="00000000" w:rsidRPr="00000000">
        <w:rPr>
          <w:rFonts w:ascii="Arial" w:cs="Arial" w:eastAsia="Arial" w:hAnsi="Arial"/>
          <w:rtl w:val="0"/>
        </w:rPr>
        <w:t xml:space="preserve">Nie </w:t>
      </w:r>
    </w:p>
    <w:p w:rsidR="00000000" w:rsidDel="00000000" w:rsidP="00000000" w:rsidRDefault="00000000" w:rsidRPr="00000000" w14:paraId="000000B7">
      <w:pPr>
        <w:widowControl w:val="1"/>
        <w:numPr>
          <w:ilvl w:val="0"/>
          <w:numId w:val="5"/>
        </w:numPr>
        <w:spacing w:after="160" w:line="259" w:lineRule="auto"/>
        <w:ind w:left="714" w:hanging="357"/>
        <w:jc w:val="both"/>
        <w:rPr>
          <w:rFonts w:ascii="Noto Sans Symbols" w:cs="Noto Sans Symbols" w:eastAsia="Noto Sans Symbols" w:hAnsi="Noto Sans Symbols"/>
        </w:rPr>
      </w:pPr>
      <w:r w:rsidDel="00000000" w:rsidR="00000000" w:rsidRPr="00000000">
        <w:rPr>
          <w:rFonts w:ascii="Arial" w:cs="Arial" w:eastAsia="Arial" w:hAnsi="Arial"/>
          <w:rtl w:val="0"/>
        </w:rPr>
        <w:t xml:space="preserve">Tak</w:t>
      </w:r>
    </w:p>
    <w:tbl>
      <w:tblPr>
        <w:tblStyle w:val="Table13"/>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0"/>
        <w:tblGridChange w:id="0">
          <w:tblGrid>
            <w:gridCol w:w="9060"/>
          </w:tblGrid>
        </w:tblGridChange>
      </w:tblGrid>
      <w:tr>
        <w:trPr>
          <w:cantSplit w:val="0"/>
          <w:tblHeader w:val="0"/>
        </w:trPr>
        <w:tc>
          <w:tcPr/>
          <w:p w:rsidR="00000000" w:rsidDel="00000000" w:rsidP="00000000" w:rsidRDefault="00000000" w:rsidRPr="00000000" w14:paraId="000000B8">
            <w:pPr>
              <w:widowControl w:val="1"/>
              <w:jc w:val="both"/>
              <w:rPr>
                <w:rFonts w:ascii="Arial" w:cs="Arial" w:eastAsia="Arial" w:hAnsi="Arial"/>
              </w:rPr>
            </w:pPr>
            <w:r w:rsidDel="00000000" w:rsidR="00000000" w:rsidRPr="00000000">
              <w:rPr>
                <w:rFonts w:ascii="Arial" w:cs="Arial" w:eastAsia="Arial" w:hAnsi="Arial"/>
                <w:sz w:val="20"/>
                <w:szCs w:val="20"/>
                <w:rtl w:val="0"/>
              </w:rPr>
              <w:t xml:space="preserve">Projekt nie zawiera przepisów regulacyjnych ani nie określa wymogów dotyczących świadczenia usług transgranicznych w rozumieniu ustawy z dnia 22 grudnia 2015 r. o zasadach uznawania kwalifikacji zawodowych nabytych w państwach członkowskich Unii Europejskiej.</w:t>
            </w:r>
            <w:r w:rsidDel="00000000" w:rsidR="00000000" w:rsidRPr="00000000">
              <w:rPr>
                <w:rtl w:val="0"/>
              </w:rPr>
            </w:r>
          </w:p>
        </w:tc>
      </w:tr>
    </w:tbl>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w:cs="Times" w:eastAsia="Times" w:hAnsi="Times"/>
        </w:rPr>
      </w:pPr>
      <w:r w:rsidDel="00000000" w:rsidR="00000000" w:rsidRPr="00000000">
        <w:rPr>
          <w:rtl w:val="0"/>
        </w:rPr>
      </w:r>
    </w:p>
    <w:sectPr>
      <w:headerReference r:id="rId7" w:type="default"/>
      <w:pgSz w:h="16838" w:w="11906" w:orient="portrait"/>
      <w:pgMar w:bottom="1560" w:top="1560" w:left="1418" w:right="14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Arial"/>
  <w:font w:name="Aptos"/>
  <w:font w:name="Times"/>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B">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Główny Urząd Statystyczny, Oświata i wychowanie w roku szkolnym 2024/2025, 28.10.2025 r., </w:t>
      </w:r>
      <w:hyperlink r:id="rId1">
        <w:r w:rsidDel="00000000" w:rsidR="00000000" w:rsidRPr="00000000">
          <w:rPr>
            <w:color w:val="1155cc"/>
            <w:sz w:val="20"/>
            <w:szCs w:val="20"/>
            <w:u w:val="single"/>
            <w:rtl w:val="0"/>
          </w:rPr>
          <w:t xml:space="preserve">https://stat.gov.pl/obszary-tematyczne/edukacja/edukacja/oswiata-i-wychowanie-w-roku-szkolnym-20242025,1,20.html</w:t>
        </w:r>
      </w:hyperlink>
      <w:r w:rsidDel="00000000" w:rsidR="00000000" w:rsidRPr="00000000">
        <w:rPr>
          <w:sz w:val="20"/>
          <w:szCs w:val="20"/>
          <w:rtl w:val="0"/>
        </w:rPr>
        <w:t xml:space="preserve">, dostęp: 20.01.2026 r.</w:t>
      </w:r>
    </w:p>
  </w:footnote>
  <w:footnote w:id="1">
    <w:p w:rsidR="00000000" w:rsidDel="00000000" w:rsidP="00000000" w:rsidRDefault="00000000" w:rsidRPr="00000000" w14:paraId="000000BC">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Zob. np. Warszawskie przedszkola dotyka niż demograficzny, Urząd m.st. Warszawy, </w:t>
      </w:r>
      <w:hyperlink r:id="rId2">
        <w:r w:rsidDel="00000000" w:rsidR="00000000" w:rsidRPr="00000000">
          <w:rPr>
            <w:color w:val="1155cc"/>
            <w:sz w:val="20"/>
            <w:szCs w:val="20"/>
            <w:u w:val="single"/>
            <w:rtl w:val="0"/>
          </w:rPr>
          <w:t xml:space="preserve">https://um.warszawa.pl/-/warszawskie-przedszkola-dotyka-niz-demograficzny</w:t>
        </w:r>
      </w:hyperlink>
      <w:r w:rsidDel="00000000" w:rsidR="00000000" w:rsidRPr="00000000">
        <w:rPr>
          <w:sz w:val="20"/>
          <w:szCs w:val="20"/>
          <w:rtl w:val="0"/>
        </w:rPr>
        <w:t xml:space="preserve">, dotęp: 22.01.2026 r.; K. Rogowska, Mieszkańcy wynoszą się z tej dzielnicy Warszawy. Cztery przedszkola do zamknięcia, TOK FM,</w:t>
        <w:br w:type="textWrapping"/>
      </w:r>
      <w:hyperlink r:id="rId3">
        <w:r w:rsidDel="00000000" w:rsidR="00000000" w:rsidRPr="00000000">
          <w:rPr>
            <w:color w:val="1155cc"/>
            <w:sz w:val="20"/>
            <w:szCs w:val="20"/>
            <w:u w:val="single"/>
            <w:rtl w:val="0"/>
          </w:rPr>
          <w:t xml:space="preserve">https://www.tokfm.pl/polska/mazowieckie/mieszkancy-wynosza-sie-z-tej-dzielnicy-warszawy-cztery-przedszkola-do-zamkniecia</w:t>
        </w:r>
      </w:hyperlink>
      <w:r w:rsidDel="00000000" w:rsidR="00000000" w:rsidRPr="00000000">
        <w:rPr>
          <w:sz w:val="20"/>
          <w:szCs w:val="20"/>
          <w:rtl w:val="0"/>
        </w:rPr>
        <w:t xml:space="preserve">, dostęp: 22.01.2026 r.</w:t>
      </w:r>
    </w:p>
  </w:footnote>
  <w:footnote w:id="3">
    <w:p w:rsidR="00000000" w:rsidDel="00000000" w:rsidP="00000000" w:rsidRDefault="00000000" w:rsidRPr="00000000" w14:paraId="000000B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Education at a Glance 2025, OECD 2025, </w:t>
      </w:r>
      <w:hyperlink r:id="rId4">
        <w:r w:rsidDel="00000000" w:rsidR="00000000" w:rsidRPr="00000000">
          <w:rPr>
            <w:color w:val="1155cc"/>
            <w:sz w:val="20"/>
            <w:szCs w:val="20"/>
            <w:u w:val="single"/>
            <w:rtl w:val="0"/>
          </w:rPr>
          <w:t xml:space="preserve">https://www.oecd.org/content/dam/oecd/en/publications/reports/2025/09/education-at-a-glance-2025_c58fc9ae/1c0d9c79-en.pdf</w:t>
        </w:r>
      </w:hyperlink>
      <w:r w:rsidDel="00000000" w:rsidR="00000000" w:rsidRPr="00000000">
        <w:rPr>
          <w:sz w:val="20"/>
          <w:szCs w:val="20"/>
          <w:rtl w:val="0"/>
        </w:rPr>
        <w:t xml:space="preserve">, dostęp: 22.01.2026 r., s. 371.</w:t>
      </w:r>
    </w:p>
  </w:footnote>
  <w:footnote w:id="2">
    <w:p w:rsidR="00000000" w:rsidDel="00000000" w:rsidP="00000000" w:rsidRDefault="00000000" w:rsidRPr="00000000" w14:paraId="000000B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Education at a Glance 2025, OECD 2025, </w:t>
      </w:r>
      <w:hyperlink r:id="rId5">
        <w:r w:rsidDel="00000000" w:rsidR="00000000" w:rsidRPr="00000000">
          <w:rPr>
            <w:color w:val="1155cc"/>
            <w:sz w:val="20"/>
            <w:szCs w:val="20"/>
            <w:u w:val="single"/>
            <w:rtl w:val="0"/>
          </w:rPr>
          <w:t xml:space="preserve">https://www.oecd.org/content/dam/oecd/en/publications/reports/2025/09/education-at-a-glance-2025_c58fc9ae/1c0d9c79-en.pdf</w:t>
        </w:r>
      </w:hyperlink>
      <w:r w:rsidDel="00000000" w:rsidR="00000000" w:rsidRPr="00000000">
        <w:rPr>
          <w:sz w:val="20"/>
          <w:szCs w:val="20"/>
          <w:rtl w:val="0"/>
        </w:rPr>
        <w:t xml:space="preserve">, dostęp: 22.01.2026 r., s. 371.</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360" w:lineRule="auto"/>
      <w:ind w:left="0" w:right="0" w:firstLine="0"/>
      <w:jc w:val="center"/>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l"/>
      </w:rPr>
    </w:rPrDefault>
    <w:pPrDefault>
      <w:pPr>
        <w:widowControl w:val="0"/>
        <w:spacing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stat.gov.pl/obszary-tematyczne/edukacja/edukacja/oswiata-i-wychowanie-w-roku-szkolnym-20242025,1,20.html" TargetMode="External"/><Relationship Id="rId2" Type="http://schemas.openxmlformats.org/officeDocument/2006/relationships/hyperlink" Target="https://um.warszawa.pl/-/warszawskie-przedszkola-dotyka-niz-demograficzny" TargetMode="External"/><Relationship Id="rId3" Type="http://schemas.openxmlformats.org/officeDocument/2006/relationships/hyperlink" Target="https://www.tokfm.pl/polska/mazowieckie/mieszkancy-wynosza-sie-z-tej-dzielnicy-warszawy-cztery-przedszkola-do-zamkniecia" TargetMode="External"/><Relationship Id="rId4" Type="http://schemas.openxmlformats.org/officeDocument/2006/relationships/hyperlink" Target="https://www.oecd.org/content/dam/oecd/en/publications/reports/2025/09/education-at-a-glance-2025_c58fc9ae/1c0d9c79-en.pdf" TargetMode="External"/><Relationship Id="rId5" Type="http://schemas.openxmlformats.org/officeDocument/2006/relationships/hyperlink" Target="https://www.oecd.org/content/dam/oecd/en/publications/reports/2025/09/education-at-a-glance-2025_c58fc9ae/1c0d9c7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